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sz w:val="22"/>
          <w:szCs w:val="22"/>
          <w:lang w:val="en-GB"/>
        </w:rPr>
      </w:pPr>
    </w:p>
    <w:p>
      <w:pPr>
        <w:overflowPunct w:val="0"/>
        <w:autoSpaceDE w:val="0"/>
        <w:autoSpaceDN w:val="0"/>
        <w:adjustRightInd w:val="0"/>
        <w:snapToGrid w:val="0"/>
        <w:jc w:val="left"/>
        <w:textAlignment w:val="baseline"/>
        <w:rPr>
          <w:rFonts w:hint="eastAsia" w:ascii="Arial" w:hAnsi="Arial" w:eastAsia="宋体" w:cs="Times New Roman"/>
          <w:b/>
          <w:sz w:val="21"/>
          <w:szCs w:val="24"/>
          <w:lang w:val="en-US" w:eastAsia="zh-CN" w:bidi="ar-SA"/>
        </w:rPr>
      </w:pPr>
      <w:r>
        <w:rPr>
          <w:rFonts w:hint="eastAsia" w:ascii="Arial" w:hAnsi="Arial" w:eastAsia="宋体" w:cs="Times New Roman"/>
          <w:b/>
          <w:sz w:val="21"/>
          <w:szCs w:val="24"/>
          <w:lang w:val="en-US" w:eastAsia="zh-CN" w:bidi="ar-SA"/>
        </w:rPr>
        <w:t>3GPP TSG-RAN WG2 Meeting#</w:t>
      </w:r>
      <w:r>
        <w:rPr>
          <w:rFonts w:hint="eastAsia" w:ascii="Arial" w:hAnsi="Arial" w:eastAsia="宋体" w:cs="Times New Roman"/>
          <w:b/>
          <w:sz w:val="21"/>
          <w:szCs w:val="24"/>
          <w:lang w:val="en-GB" w:eastAsia="zh-CN" w:bidi="ar-SA"/>
        </w:rPr>
        <w:t>103-bis</w:t>
      </w:r>
      <w:r>
        <w:rPr>
          <w:rFonts w:hint="eastAsia" w:ascii="Arial" w:hAnsi="Arial" w:eastAsia="宋体" w:cs="Times New Roman"/>
          <w:b/>
          <w:sz w:val="21"/>
          <w:szCs w:val="24"/>
          <w:lang w:val="en-GB" w:eastAsia="zh-CN" w:bidi="ar-SA"/>
        </w:rPr>
        <w:tab/>
      </w:r>
      <w:r>
        <w:rPr>
          <w:rFonts w:hint="eastAsia" w:ascii="Arial" w:hAnsi="Arial" w:eastAsia="宋体" w:cs="Times New Roman"/>
          <w:b/>
          <w:sz w:val="21"/>
          <w:szCs w:val="24"/>
          <w:lang w:val="en-GB" w:eastAsia="zh-CN" w:bidi="ar-SA"/>
        </w:rPr>
        <w:t xml:space="preserve">    </w:t>
      </w:r>
      <w:r>
        <w:rPr>
          <w:rFonts w:hint="eastAsia" w:ascii="Arial" w:hAnsi="Arial" w:eastAsia="宋体" w:cs="Times New Roman"/>
          <w:b/>
          <w:sz w:val="21"/>
          <w:szCs w:val="24"/>
          <w:lang w:val="en-US" w:eastAsia="zh-CN" w:bidi="ar-SA"/>
        </w:rPr>
        <w:t xml:space="preserve">    </w:t>
      </w:r>
      <w:r>
        <w:rPr>
          <w:rFonts w:hint="eastAsia" w:ascii="Arial" w:hAnsi="Arial" w:eastAsia="宋体" w:cs="Times New Roman"/>
          <w:b/>
          <w:sz w:val="21"/>
          <w:szCs w:val="24"/>
          <w:lang w:val="en-US" w:eastAsia="zh-CN" w:bidi="ar-SA"/>
        </w:rPr>
        <w:tab/>
      </w:r>
      <w:r>
        <w:rPr>
          <w:rFonts w:hint="eastAsia" w:ascii="Arial" w:hAnsi="Arial" w:eastAsia="宋体" w:cs="Times New Roman"/>
          <w:b/>
          <w:sz w:val="21"/>
          <w:szCs w:val="24"/>
          <w:lang w:val="en-US" w:eastAsia="zh-CN" w:bidi="ar-SA"/>
        </w:rPr>
        <w:tab/>
      </w:r>
      <w:r>
        <w:rPr>
          <w:rFonts w:hint="eastAsia" w:ascii="Arial" w:hAnsi="Arial" w:eastAsia="宋体" w:cs="Times New Roman"/>
          <w:b/>
          <w:sz w:val="21"/>
          <w:szCs w:val="24"/>
          <w:lang w:val="en-US" w:eastAsia="zh-CN" w:bidi="ar-SA"/>
        </w:rPr>
        <w:tab/>
      </w:r>
      <w:r>
        <w:rPr>
          <w:rFonts w:hint="eastAsia" w:ascii="Arial" w:hAnsi="Arial" w:eastAsia="宋体" w:cs="Times New Roman"/>
          <w:b/>
          <w:sz w:val="21"/>
          <w:szCs w:val="24"/>
          <w:lang w:val="zh-CN" w:eastAsia="zh-CN" w:bidi="ar-SA"/>
        </w:rPr>
        <w:t>R2-1814166</w:t>
      </w:r>
    </w:p>
    <w:p>
      <w:pPr>
        <w:pStyle w:val="17"/>
        <w:rPr>
          <w:rFonts w:ascii="Arial" w:hAnsi="Arial" w:cs="Arial"/>
          <w:b/>
          <w:bCs/>
          <w:kern w:val="0"/>
          <w:sz w:val="28"/>
          <w:szCs w:val="28"/>
          <w:lang w:val="en-GB"/>
        </w:rPr>
      </w:pPr>
      <w:r>
        <w:rPr>
          <w:rFonts w:hint="eastAsia" w:ascii="Arial" w:hAnsi="Arial" w:eastAsia="宋体" w:cs="Times New Roman"/>
          <w:b/>
          <w:sz w:val="21"/>
          <w:szCs w:val="24"/>
          <w:lang w:val="en-GB" w:eastAsia="zh-CN" w:bidi="ar-SA"/>
        </w:rPr>
        <w:t>Chengdu, China 08-12 October 2018</w:t>
      </w:r>
      <w:r>
        <w:rPr>
          <w:rFonts w:hint="eastAsia" w:ascii="Arial" w:hAnsi="Arial" w:eastAsia="宋体" w:cs="Times New Roman"/>
          <w:b/>
          <w:sz w:val="21"/>
          <w:szCs w:val="24"/>
          <w:lang w:val="en-US" w:eastAsia="zh-CN" w:bidi="ar-SA"/>
        </w:rPr>
        <w:t xml:space="preserve"> </w:t>
      </w:r>
      <w:r>
        <w:rPr>
          <w:rFonts w:ascii="Arial" w:hAnsi="Arial" w:cs="Arial"/>
          <w:b/>
          <w:bCs/>
          <w:kern w:val="0"/>
          <w:sz w:val="28"/>
          <w:szCs w:val="28"/>
          <w:lang w:val="en-GB"/>
        </w:rPr>
        <w:tab/>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cs="Arial"/>
          <w:sz w:val="22"/>
          <w:szCs w:val="22"/>
        </w:rPr>
        <w:t>ZTE Corporation, Sanechips</w:t>
      </w:r>
    </w:p>
    <w:p>
      <w:pPr>
        <w:pStyle w:val="17"/>
        <w:tabs>
          <w:tab w:val="left" w:pos="1800"/>
          <w:tab w:val="clear" w:pos="4536"/>
        </w:tabs>
        <w:ind w:left="1840" w:hanging="1840" w:hangingChars="833"/>
        <w:jc w:val="both"/>
        <w:rPr>
          <w:rFonts w:hint="eastAsia" w:eastAsia="宋体" w:cs="Arial"/>
          <w:sz w:val="22"/>
          <w:szCs w:val="22"/>
          <w:lang w:val="en-US" w:eastAsia="zh-CN"/>
        </w:rPr>
      </w:pPr>
      <w:r>
        <w:rPr>
          <w:rFonts w:cs="Arial"/>
          <w:sz w:val="22"/>
          <w:szCs w:val="22"/>
        </w:rPr>
        <w:t>Title:</w:t>
      </w:r>
      <w:bookmarkStart w:id="0" w:name="Title"/>
      <w:bookmarkEnd w:id="0"/>
      <w:r>
        <w:rPr>
          <w:rFonts w:cs="Arial"/>
          <w:sz w:val="22"/>
          <w:szCs w:val="22"/>
        </w:rPr>
        <w:tab/>
      </w:r>
      <w:bookmarkStart w:id="5" w:name="_GoBack"/>
      <w:r>
        <w:rPr>
          <w:rFonts w:hint="eastAsia" w:eastAsia="宋体" w:cs="Arial"/>
          <w:sz w:val="22"/>
          <w:szCs w:val="22"/>
          <w:lang w:val="en-US" w:eastAsia="zh-CN"/>
        </w:rPr>
        <w:t>A</w:t>
      </w:r>
      <w:r>
        <w:rPr>
          <w:rFonts w:hint="eastAsia" w:cs="Arial"/>
          <w:sz w:val="22"/>
          <w:szCs w:val="22"/>
          <w:lang w:val="zh-CN"/>
        </w:rPr>
        <w:t xml:space="preserve">mbiguity of targetCellIdentity in </w:t>
      </w:r>
      <w:r>
        <w:rPr>
          <w:rFonts w:hint="eastAsia" w:eastAsia="宋体" w:cs="Arial"/>
          <w:sz w:val="22"/>
          <w:szCs w:val="22"/>
          <w:lang w:val="en-US" w:eastAsia="zh-CN"/>
        </w:rPr>
        <w:t xml:space="preserve">Resume/Short </w:t>
      </w:r>
      <w:r>
        <w:rPr>
          <w:rFonts w:hint="eastAsia" w:cs="Arial"/>
          <w:sz w:val="22"/>
          <w:szCs w:val="22"/>
          <w:lang w:val="en-US" w:eastAsia="zh-CN"/>
        </w:rPr>
        <w:t>MAC-I calculation</w:t>
      </w:r>
      <w:bookmarkEnd w:id="5"/>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val="zh-CN" w:eastAsia="zh-CN"/>
        </w:rPr>
        <w:t>10.4.1.3.6</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1"/>
        </w:pBdr>
        <w:jc w:val="both"/>
        <w:rPr>
          <w:szCs w:val="28"/>
        </w:rPr>
      </w:pPr>
      <w:r>
        <w:rPr>
          <w:szCs w:val="28"/>
        </w:rPr>
        <w:t>Introduction</w:t>
      </w:r>
    </w:p>
    <w:p>
      <w:pPr>
        <w:pStyle w:val="11"/>
        <w:rPr>
          <w:rFonts w:hint="eastAsia" w:eastAsiaTheme="minorEastAsia"/>
          <w:lang w:val="en-US" w:eastAsia="zh-CN"/>
        </w:rPr>
      </w:pPr>
      <w:r>
        <w:rPr>
          <w:rFonts w:hint="eastAsia" w:ascii="Times New Roman" w:hAnsi="Times New Roman" w:eastAsia="宋体" w:cs="Times New Roman"/>
          <w:sz w:val="21"/>
          <w:lang w:val="en-US" w:eastAsia="zh-CN"/>
        </w:rPr>
        <w:t xml:space="preserve">The intention of the contribution is to discuss the ambiguity of targetCellIdentity                       used in the calculation of short-MAC-I. </w:t>
      </w:r>
    </w:p>
    <w:p>
      <w:pPr>
        <w:pStyle w:val="2"/>
        <w:pBdr>
          <w:top w:val="single" w:color="auto" w:sz="4" w:space="1"/>
        </w:pBdr>
        <w:jc w:val="both"/>
        <w:rPr>
          <w:szCs w:val="28"/>
        </w:rPr>
      </w:pPr>
      <w:r>
        <w:rPr>
          <w:rFonts w:hint="eastAsia"/>
          <w:szCs w:val="28"/>
        </w:rPr>
        <w:t>Discussion</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In the previous meeting, the LS from CT1 [1] was received and the LS clarified that </w:t>
      </w:r>
      <w:r>
        <w:rPr>
          <w:rFonts w:hint="default" w:ascii="Times New Roman" w:hAnsi="Times New Roman" w:eastAsia="宋体" w:cs="Times New Roman"/>
          <w:sz w:val="21"/>
          <w:lang w:val="en-US" w:eastAsia="zh-CN"/>
        </w:rPr>
        <w:t>"When the UE in NAS connected mode with RRC Inactive reselects to an equivalent PLMN and performs a resume procedure, the UE provides the selected PLMN ID in the resume complete message if network sharing is supported by the gNB."</w:t>
      </w:r>
      <w:r>
        <w:rPr>
          <w:rFonts w:hint="eastAsia" w:ascii="Times New Roman" w:hAnsi="Times New Roman" w:eastAsia="宋体" w:cs="Times New Roman"/>
          <w:sz w:val="21"/>
          <w:lang w:val="en-US" w:eastAsia="zh-CN"/>
        </w:rPr>
        <w:t xml:space="preserve">. According to the LS, </w:t>
      </w:r>
      <w:r>
        <w:rPr>
          <w:rFonts w:hint="default" w:ascii="Times New Roman" w:hAnsi="Times New Roman" w:eastAsia="宋体" w:cs="Times New Roman"/>
          <w:sz w:val="21"/>
          <w:lang w:val="en-US" w:eastAsia="zh-CN"/>
        </w:rPr>
        <w:t xml:space="preserve">the </w:t>
      </w:r>
      <w:r>
        <w:rPr>
          <w:rFonts w:hint="eastAsia" w:ascii="Times New Roman" w:hAnsi="Times New Roman" w:eastAsia="宋体" w:cs="Times New Roman"/>
          <w:sz w:val="21"/>
          <w:lang w:val="en-US" w:eastAsia="zh-CN"/>
        </w:rPr>
        <w:t xml:space="preserve">IE </w:t>
      </w:r>
      <w:r>
        <w:rPr>
          <w:rFonts w:hint="default" w:ascii="Times New Roman" w:hAnsi="Times New Roman" w:eastAsia="宋体" w:cs="Times New Roman"/>
          <w:i/>
          <w:iCs/>
          <w:sz w:val="21"/>
          <w:lang w:val="en-US" w:eastAsia="zh-CN"/>
        </w:rPr>
        <w:t>selectedPLMN-Identity</w:t>
      </w:r>
      <w:r>
        <w:rPr>
          <w:rFonts w:hint="default" w:ascii="Times New Roman" w:hAnsi="Times New Roman" w:eastAsia="宋体" w:cs="Times New Roman"/>
          <w:sz w:val="21"/>
          <w:lang w:val="en-US" w:eastAsia="zh-CN"/>
        </w:rPr>
        <w:t xml:space="preserve"> is introduced in the RRCResumeComplete message.</w:t>
      </w:r>
      <w:r>
        <w:rPr>
          <w:rFonts w:hint="eastAsia" w:ascii="Times New Roman" w:hAnsi="Times New Roman" w:eastAsia="宋体" w:cs="Times New Roman"/>
          <w:sz w:val="21"/>
          <w:lang w:val="en-US" w:eastAsia="zh-CN"/>
        </w:rPr>
        <w:t xml:space="preserve"> Based on the LS and the corresponding change, it can be observed that the PLMN used in source cell and the PLMN used in the target cell can be different (e.g. different but within the </w:t>
      </w:r>
      <w:r>
        <w:rPr>
          <w:rFonts w:hint="default" w:ascii="Times New Roman" w:hAnsi="Times New Roman" w:eastAsia="宋体" w:cs="Times New Roman"/>
          <w:sz w:val="21"/>
          <w:lang w:val="en-US" w:eastAsia="zh-CN"/>
        </w:rPr>
        <w:t>equivalent PLMN</w:t>
      </w:r>
      <w:r>
        <w:rPr>
          <w:rFonts w:hint="eastAsia" w:ascii="Times New Roman" w:hAnsi="Times New Roman" w:eastAsia="宋体" w:cs="Times New Roman"/>
          <w:sz w:val="21"/>
          <w:lang w:val="en-US" w:eastAsia="zh-CN"/>
        </w:rPr>
        <w:t xml:space="preserve"> list) in the resume procedure.</w:t>
      </w:r>
    </w:p>
    <w:p>
      <w:pPr>
        <w:pStyle w:val="11"/>
        <w:rPr>
          <w:rFonts w:hint="eastAsia" w:ascii="Times New Roman" w:hAnsi="Times New Roman" w:eastAsia="宋体" w:cs="Times New Roman"/>
          <w:b/>
          <w:bCs/>
          <w:sz w:val="21"/>
          <w:lang w:val="en-US" w:eastAsia="zh-CN"/>
        </w:rPr>
      </w:pPr>
      <w:r>
        <w:rPr>
          <w:rFonts w:hint="eastAsia" w:ascii="Times New Roman" w:hAnsi="Times New Roman" w:eastAsia="宋体" w:cs="Times New Roman"/>
          <w:b/>
          <w:bCs/>
          <w:sz w:val="21"/>
          <w:lang w:val="en-US" w:eastAsia="zh-CN"/>
        </w:rPr>
        <w:t xml:space="preserve">Observation 1: For the resume procedure, the PLMN ID of source cell and PLMN ID for the target cell can be different (e.g. different but within the </w:t>
      </w:r>
      <w:r>
        <w:rPr>
          <w:rFonts w:hint="default" w:ascii="Times New Roman" w:hAnsi="Times New Roman" w:eastAsia="宋体" w:cs="Times New Roman"/>
          <w:b/>
          <w:bCs/>
          <w:sz w:val="21"/>
          <w:lang w:val="en-US" w:eastAsia="zh-CN"/>
        </w:rPr>
        <w:t>equivalent PLMN</w:t>
      </w:r>
      <w:r>
        <w:rPr>
          <w:rFonts w:hint="eastAsia" w:ascii="Times New Roman" w:hAnsi="Times New Roman" w:eastAsia="宋体" w:cs="Times New Roman"/>
          <w:b/>
          <w:bCs/>
          <w:sz w:val="21"/>
          <w:lang w:val="en-US" w:eastAsia="zh-CN"/>
        </w:rPr>
        <w:t xml:space="preserve"> list).</w:t>
      </w:r>
    </w:p>
    <w:p>
      <w:pPr>
        <w:pStyle w:val="11"/>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For the calculation of short</w:t>
      </w:r>
      <w:r>
        <w:rPr>
          <w:rFonts w:hint="eastAsia" w:ascii="Times New Roman" w:hAnsi="Times New Roman" w:eastAsia="宋体" w:cs="Times New Roman"/>
          <w:sz w:val="21"/>
          <w:lang w:val="en-US" w:eastAsia="zh-CN"/>
        </w:rPr>
        <w:t>-</w:t>
      </w:r>
      <w:r>
        <w:rPr>
          <w:rFonts w:hint="default" w:ascii="Times New Roman" w:hAnsi="Times New Roman" w:eastAsia="宋体" w:cs="Times New Roman"/>
          <w:sz w:val="21"/>
          <w:lang w:val="en-US" w:eastAsia="zh-CN"/>
        </w:rPr>
        <w:t>MAC</w:t>
      </w:r>
      <w:r>
        <w:rPr>
          <w:rFonts w:hint="eastAsia" w:ascii="Times New Roman" w:hAnsi="Times New Roman" w:eastAsia="宋体" w:cs="Times New Roman"/>
          <w:sz w:val="21"/>
          <w:lang w:val="en-US" w:eastAsia="zh-CN"/>
        </w:rPr>
        <w:t>-</w:t>
      </w:r>
      <w:r>
        <w:rPr>
          <w:rFonts w:hint="default" w:ascii="Times New Roman" w:hAnsi="Times New Roman" w:eastAsia="宋体" w:cs="Times New Roman"/>
          <w:sz w:val="21"/>
          <w:lang w:val="en-US" w:eastAsia="zh-CN"/>
        </w:rPr>
        <w:t>I, the input parameters is given in VarResumeMAC-Input, which is shown as follow:</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From 38.331 f30 --------------------------------------------------------</w:t>
      </w:r>
    </w:p>
    <w:p>
      <w:pPr>
        <w:pStyle w:val="11"/>
        <w:rPr>
          <w:rFonts w:hint="default" w:ascii="Times New Roman" w:hAnsi="Times New Roman" w:eastAsia="宋体" w:cs="Times New Roman"/>
          <w:sz w:val="21"/>
          <w:lang w:val="en-GB" w:eastAsia="zh-CN"/>
        </w:rPr>
      </w:pPr>
      <w:bookmarkStart w:id="3" w:name="_Toc525763633"/>
      <w:r>
        <w:rPr>
          <w:rFonts w:hint="default" w:ascii="Times New Roman" w:hAnsi="Times New Roman" w:eastAsia="宋体" w:cs="Times New Roman"/>
          <w:sz w:val="21"/>
          <w:lang w:val="en-GB" w:eastAsia="zh-CN"/>
        </w:rPr>
        <w:t>–</w:t>
      </w:r>
      <w:r>
        <w:rPr>
          <w:rFonts w:hint="default" w:ascii="Times New Roman" w:hAnsi="Times New Roman" w:eastAsia="宋体" w:cs="Times New Roman"/>
          <w:sz w:val="21"/>
          <w:lang w:val="en-GB" w:eastAsia="zh-CN"/>
        </w:rPr>
        <w:tab/>
      </w:r>
      <w:r>
        <w:rPr>
          <w:rFonts w:hint="default" w:ascii="Times New Roman" w:hAnsi="Times New Roman" w:eastAsia="宋体" w:cs="Times New Roman"/>
          <w:sz w:val="21"/>
          <w:lang w:val="en-GB" w:eastAsia="zh-CN"/>
        </w:rPr>
        <w:t>VarResumeMAC-Input</w:t>
      </w:r>
      <w:bookmarkEnd w:id="3"/>
    </w:p>
    <w:p>
      <w:r>
        <w:t xml:space="preserve">The UE variable </w:t>
      </w:r>
      <w:r>
        <w:rPr>
          <w:i/>
        </w:rPr>
        <w:t>VarResumeMAC-Input</w:t>
      </w:r>
      <w:r>
        <w:t xml:space="preserve"> specifies the input used to generate the </w:t>
      </w:r>
      <w:r>
        <w:rPr>
          <w:i/>
        </w:rPr>
        <w:t xml:space="preserve">resumeMAC-I </w:t>
      </w:r>
      <w:r>
        <w:t>during RRC Connection Resume procedure.</w:t>
      </w:r>
    </w:p>
    <w:p>
      <w:pPr>
        <w:pStyle w:val="77"/>
        <w:rPr>
          <w:lang w:val="en-GB"/>
        </w:rPr>
      </w:pPr>
      <w:r>
        <w:rPr>
          <w:i/>
          <w:lang w:val="en-GB"/>
        </w:rPr>
        <w:t xml:space="preserve">VarResumeMAC-Input </w:t>
      </w:r>
      <w:r>
        <w:rPr>
          <w:lang w:val="en-GB"/>
        </w:rPr>
        <w:t>variable</w:t>
      </w:r>
    </w:p>
    <w:p>
      <w:pPr>
        <w:pStyle w:val="81"/>
        <w:rPr>
          <w:color w:val="808080"/>
        </w:rPr>
      </w:pPr>
      <w:r>
        <w:rPr>
          <w:color w:val="808080"/>
        </w:rPr>
        <w:t>-- ASN1START</w:t>
      </w:r>
    </w:p>
    <w:p>
      <w:pPr>
        <w:pStyle w:val="81"/>
        <w:rPr>
          <w:color w:val="808080"/>
        </w:rPr>
      </w:pPr>
      <w:r>
        <w:rPr>
          <w:color w:val="808080"/>
        </w:rPr>
        <w:t>-- TAG-VAR-RESUMEMACINPUT-START</w:t>
      </w:r>
    </w:p>
    <w:p>
      <w:pPr>
        <w:pStyle w:val="81"/>
      </w:pPr>
    </w:p>
    <w:p>
      <w:pPr>
        <w:pStyle w:val="81"/>
      </w:pPr>
      <w:r>
        <w:t xml:space="preserve">VarResumeMAC-Input  ::=     </w:t>
      </w:r>
      <w:r>
        <w:rPr>
          <w:color w:val="993366"/>
        </w:rPr>
        <w:t>SEQUENCE</w:t>
      </w:r>
      <w:r>
        <w:t xml:space="preserve"> {</w:t>
      </w:r>
    </w:p>
    <w:p>
      <w:pPr>
        <w:pStyle w:val="81"/>
      </w:pPr>
      <w:r>
        <w:t xml:space="preserve">    sourcePhysCellId                        PhysCellId,</w:t>
      </w:r>
    </w:p>
    <w:p>
      <w:pPr>
        <w:pStyle w:val="81"/>
      </w:pPr>
      <w:r>
        <w:t xml:space="preserve">    </w:t>
      </w:r>
      <w:r>
        <w:rPr>
          <w:highlight w:val="yellow"/>
        </w:rPr>
        <w:t xml:space="preserve">targetCellIdentity                      </w:t>
      </w:r>
      <w:r>
        <w:t>CellIdentity,</w:t>
      </w:r>
    </w:p>
    <w:p>
      <w:pPr>
        <w:pStyle w:val="81"/>
      </w:pPr>
      <w:r>
        <w:t xml:space="preserve">    source-c-RNTI                           RNTI-Value</w:t>
      </w:r>
    </w:p>
    <w:p>
      <w:pPr>
        <w:pStyle w:val="81"/>
      </w:pPr>
    </w:p>
    <w:p>
      <w:pPr>
        <w:pStyle w:val="81"/>
      </w:pPr>
      <w:r>
        <w:t>}</w:t>
      </w:r>
    </w:p>
    <w:p>
      <w:pPr>
        <w:pStyle w:val="81"/>
      </w:pPr>
    </w:p>
    <w:p>
      <w:pPr>
        <w:pStyle w:val="81"/>
        <w:rPr>
          <w:color w:val="808080"/>
        </w:rPr>
      </w:pPr>
      <w:r>
        <w:rPr>
          <w:color w:val="808080"/>
        </w:rPr>
        <w:t>-- TAG-VAR-RESUMEMACINPUT-STOP</w:t>
      </w:r>
    </w:p>
    <w:p>
      <w:pPr>
        <w:pStyle w:val="81"/>
        <w:rPr>
          <w:color w:val="808080"/>
        </w:rPr>
      </w:pPr>
      <w:r>
        <w:rPr>
          <w:color w:val="808080"/>
        </w:rPr>
        <w:t>-- ASN1STOP</w:t>
      </w:r>
    </w:p>
    <w:p>
      <w:pPr>
        <w:pStyle w:val="83"/>
        <w:rPr>
          <w:lang w:val="en-GB"/>
        </w:rPr>
      </w:pPr>
      <w:r>
        <w:rPr>
          <w:lang w:val="en-GB"/>
        </w:rPr>
        <w:t xml:space="preserve">Editor's Note: FFS Additional input to </w:t>
      </w:r>
      <w:r>
        <w:rPr>
          <w:i/>
          <w:lang w:val="en-GB"/>
        </w:rPr>
        <w:t>VarResumeMAC-Input</w:t>
      </w:r>
      <w:r>
        <w:rPr>
          <w:lang w:val="en-GB"/>
        </w:rPr>
        <w:t xml:space="preserve"> (replay attacks mitigation).</w:t>
      </w:r>
    </w:p>
    <w:tbl>
      <w:tblPr>
        <w:tblStyle w:val="3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9288" w:type="dxa"/>
            <w:shd w:val="clear" w:color="auto" w:fill="auto"/>
            <w:vAlign w:val="top"/>
          </w:tcPr>
          <w:p>
            <w:pPr>
              <w:pStyle w:val="79"/>
              <w:rPr>
                <w:bCs/>
                <w:i/>
                <w:iCs/>
                <w:lang w:val="en-GB" w:eastAsia="ja-JP"/>
              </w:rPr>
            </w:pPr>
            <w:r>
              <w:rPr>
                <w:bCs/>
                <w:i/>
                <w:iCs/>
                <w:lang w:val="en-GB" w:eastAsia="ja-JP"/>
              </w:rPr>
              <w:t>VarResumeMAC-Input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9288" w:type="dxa"/>
            <w:shd w:val="clear" w:color="auto" w:fill="auto"/>
            <w:vAlign w:val="top"/>
          </w:tcPr>
          <w:p>
            <w:pPr>
              <w:pStyle w:val="75"/>
              <w:rPr>
                <w:b/>
                <w:bCs/>
                <w:i/>
                <w:iCs/>
                <w:lang w:val="en-GB" w:eastAsia="ja-JP"/>
              </w:rPr>
            </w:pPr>
            <w:r>
              <w:rPr>
                <w:b/>
                <w:bCs/>
                <w:i/>
                <w:iCs/>
                <w:lang w:val="en-GB" w:eastAsia="ja-JP"/>
              </w:rPr>
              <w:t>targetCellIdentity</w:t>
            </w:r>
          </w:p>
          <w:p>
            <w:pPr>
              <w:pStyle w:val="75"/>
              <w:rPr>
                <w:lang w:val="en-GB" w:eastAsia="ja-JP"/>
              </w:rPr>
            </w:pPr>
            <w:r>
              <w:rPr>
                <w:lang w:val="en-GB" w:eastAsia="ja-JP"/>
              </w:rPr>
              <w:t>Set to CellIdentity of the target cell i.e. the cell the UE is trying to resume.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88" w:type="dxa"/>
            <w:shd w:val="clear" w:color="auto" w:fill="auto"/>
            <w:vAlign w:val="top"/>
          </w:tcPr>
          <w:p>
            <w:pPr>
              <w:pStyle w:val="75"/>
              <w:rPr>
                <w:b/>
                <w:bCs/>
                <w:i/>
                <w:iCs/>
                <w:lang w:val="en-GB" w:eastAsia="ja-JP"/>
              </w:rPr>
            </w:pPr>
            <w:r>
              <w:rPr>
                <w:b/>
                <w:bCs/>
                <w:i/>
                <w:iCs/>
                <w:lang w:val="en-GB" w:eastAsia="ja-JP"/>
              </w:rPr>
              <w:t>source-c-RNTI</w:t>
            </w:r>
          </w:p>
          <w:p>
            <w:pPr>
              <w:pStyle w:val="75"/>
              <w:rPr>
                <w:lang w:val="en-GB" w:eastAsia="ja-JP"/>
              </w:rPr>
            </w:pPr>
            <w:r>
              <w:rPr>
                <w:lang w:val="en-GB" w:eastAsia="ja-JP"/>
              </w:rPr>
              <w:t>Set to C-RNTI that the UE had in the PCell it was connected to prior to suspension of the RRC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88" w:type="dxa"/>
            <w:shd w:val="clear" w:color="auto" w:fill="auto"/>
            <w:vAlign w:val="top"/>
          </w:tcPr>
          <w:p>
            <w:pPr>
              <w:pStyle w:val="75"/>
              <w:rPr>
                <w:b/>
                <w:bCs/>
                <w:i/>
                <w:lang w:val="en-GB" w:eastAsia="en-GB"/>
              </w:rPr>
            </w:pPr>
            <w:r>
              <w:rPr>
                <w:b/>
                <w:bCs/>
                <w:i/>
                <w:lang w:val="en-GB" w:eastAsia="en-GB"/>
              </w:rPr>
              <w:t>sourcePhysCellId</w:t>
            </w:r>
          </w:p>
          <w:p>
            <w:pPr>
              <w:pStyle w:val="75"/>
              <w:rPr>
                <w:lang w:val="en-GB" w:eastAsia="ja-JP"/>
              </w:rPr>
            </w:pPr>
            <w:r>
              <w:rPr>
                <w:lang w:val="en-GB" w:eastAsia="ja-JP"/>
              </w:rPr>
              <w:t>Set to the physical cell identity of the PCell the UE was connected to prior to suspension of the RRC connection.</w:t>
            </w:r>
          </w:p>
        </w:tc>
      </w:tr>
    </w:tbl>
    <w:p>
      <w:pPr>
        <w:pStyle w:val="11"/>
        <w:rPr>
          <w:rFonts w:hint="eastAsia" w:ascii="Times New Roman" w:hAnsi="Times New Roman" w:eastAsia="宋体" w:cs="Times New Roman"/>
          <w:sz w:val="21"/>
          <w:lang w:val="en-US" w:eastAsia="zh-CN"/>
        </w:rPr>
      </w:pP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From 38.331 f30 --------------------------------------------------------</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It can be observed that the </w:t>
      </w:r>
      <w:r>
        <w:rPr>
          <w:rFonts w:hint="default" w:ascii="Times New Roman" w:hAnsi="Times New Roman" w:eastAsia="宋体" w:cs="Times New Roman"/>
          <w:sz w:val="21"/>
          <w:lang w:val="en-US" w:eastAsia="zh-CN"/>
        </w:rPr>
        <w:t>targetCellIdentity</w:t>
      </w:r>
      <w:r>
        <w:rPr>
          <w:rFonts w:hint="eastAsia" w:ascii="Times New Roman" w:hAnsi="Times New Roman" w:eastAsia="宋体" w:cs="Times New Roman"/>
          <w:sz w:val="21"/>
          <w:lang w:val="en-US" w:eastAsia="zh-CN"/>
        </w:rPr>
        <w:t xml:space="preserve"> (a high layer cell id with 36bits), will be used as an input of shot-MAC-I calculation. However, considering multiple PLMN can be broadcasted in SIB1 of the target cell and each PLMN can have different Cell ID, it is not clear the </w:t>
      </w:r>
      <w:r>
        <w:rPr>
          <w:rFonts w:hint="default" w:ascii="Times New Roman" w:hAnsi="Times New Roman" w:eastAsia="宋体" w:cs="Times New Roman"/>
          <w:sz w:val="21"/>
          <w:lang w:val="en-US" w:eastAsia="zh-CN"/>
        </w:rPr>
        <w:t>targetCellIdentity</w:t>
      </w:r>
      <w:r>
        <w:rPr>
          <w:rFonts w:hint="eastAsia" w:ascii="Times New Roman" w:hAnsi="Times New Roman" w:eastAsia="宋体" w:cs="Times New Roman"/>
          <w:sz w:val="21"/>
          <w:lang w:val="en-US" w:eastAsia="zh-CN"/>
        </w:rPr>
        <w:t xml:space="preserve"> of which PLMN will be used as input in the short-MAC-I calculation. </w:t>
      </w:r>
    </w:p>
    <w:p>
      <w:pPr>
        <w:pStyle w:val="11"/>
        <w:rPr>
          <w:rFonts w:hint="eastAsia" w:ascii="Times New Roman" w:hAnsi="Times New Roman" w:eastAsia="宋体" w:cs="Times New Roman"/>
          <w:b/>
          <w:bCs/>
          <w:sz w:val="21"/>
          <w:lang w:val="en-US" w:eastAsia="zh-CN"/>
        </w:rPr>
      </w:pPr>
      <w:r>
        <w:rPr>
          <w:rFonts w:hint="eastAsia" w:ascii="Times New Roman" w:hAnsi="Times New Roman" w:eastAsia="宋体" w:cs="Times New Roman"/>
          <w:b/>
          <w:bCs/>
          <w:sz w:val="21"/>
          <w:lang w:val="en-US" w:eastAsia="zh-CN"/>
        </w:rPr>
        <w:t xml:space="preserve">Observation 2: Considering multiple PLMN can be broadcasted in the target cell and each PLMN can have different Cell ID, it is not clear the cell ID of which PLMN will be taken as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in the short-MAC-I calculation.</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Since the the short-MAC-I will be calculated in both UE side and NW side, we think the selection of </w:t>
      </w:r>
      <w:r>
        <w:rPr>
          <w:rFonts w:hint="default" w:ascii="Times New Roman" w:hAnsi="Times New Roman" w:eastAsia="宋体" w:cs="Times New Roman"/>
          <w:sz w:val="21"/>
          <w:lang w:val="en-US" w:eastAsia="zh-CN"/>
        </w:rPr>
        <w:t>CellIdentity</w:t>
      </w:r>
      <w:r>
        <w:rPr>
          <w:rFonts w:hint="eastAsia" w:ascii="Times New Roman" w:hAnsi="Times New Roman" w:eastAsia="宋体" w:cs="Times New Roman"/>
          <w:sz w:val="21"/>
          <w:lang w:val="en-US" w:eastAsia="zh-CN"/>
        </w:rPr>
        <w:t xml:space="preserve"> should be clarified in the current spec. Otherwise, the behaviour on UE side is not clear and the NW have to do the calculation/comparison of short-MAC-I multiple times for different PLMN, which will lead to a waste of resources. In addition, the structure of message </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zh-CN"/>
        </w:rPr>
        <w:t>RETRIEVE UE CONTEXT REQUEST</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zh-CN"/>
        </w:rPr>
        <w:t xml:space="preserve"> defined in Xn interface can be found as follow:</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From 38.423 f10 ---------------------------------------------------</w:t>
      </w:r>
    </w:p>
    <w:p>
      <w:pPr>
        <w:pStyle w:val="11"/>
        <w:rPr>
          <w:rFonts w:hint="eastAsia" w:ascii="Times New Roman" w:hAnsi="Times New Roman" w:eastAsia="宋体" w:cs="Times New Roman"/>
          <w:sz w:val="21"/>
          <w:lang w:val="en-US" w:eastAsia="zh-CN"/>
        </w:rPr>
      </w:pPr>
      <w:bookmarkStart w:id="4" w:name="_Toc525566904"/>
      <w:r>
        <w:rPr>
          <w:rFonts w:hint="eastAsia" w:ascii="Times New Roman" w:hAnsi="Times New Roman" w:eastAsia="宋体" w:cs="Times New Roman"/>
          <w:sz w:val="21"/>
          <w:lang w:val="en-US" w:eastAsia="zh-CN"/>
        </w:rPr>
        <w:t>9.1.1.8</w:t>
      </w:r>
      <w:r>
        <w:rPr>
          <w:rFonts w:hint="eastAsia" w:ascii="Times New Roman" w:hAnsi="Times New Roman" w:eastAsia="宋体" w:cs="Times New Roman"/>
          <w:sz w:val="21"/>
          <w:lang w:val="en-US" w:eastAsia="zh-CN"/>
        </w:rPr>
        <w:tab/>
      </w:r>
      <w:r>
        <w:rPr>
          <w:rFonts w:hint="eastAsia" w:ascii="Times New Roman" w:hAnsi="Times New Roman" w:eastAsia="宋体" w:cs="Times New Roman"/>
          <w:sz w:val="21"/>
          <w:lang w:val="en-US" w:eastAsia="zh-CN"/>
        </w:rPr>
        <w:t>RETRIEVE UE CONTEXT REQUEST</w:t>
      </w:r>
      <w:bookmarkEnd w:id="4"/>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This message is sent by the new NG-RAN node to request the old NG-RAN node to transfer the UE Context to the new NG-RAN.</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Direction: new NG-RAN node </w:t>
      </w:r>
      <w:r>
        <w:rPr>
          <w:rFonts w:hint="eastAsia" w:ascii="Times New Roman" w:hAnsi="Times New Roman" w:eastAsia="宋体" w:cs="Times New Roman"/>
          <w:sz w:val="21"/>
          <w:lang w:val="en-US" w:eastAsia="zh-CN"/>
        </w:rPr>
        <w:sym w:font="Symbol" w:char="F0AE"/>
      </w:r>
      <w:r>
        <w:rPr>
          <w:rFonts w:hint="eastAsia" w:ascii="Times New Roman" w:hAnsi="Times New Roman" w:eastAsia="宋体" w:cs="Times New Roman"/>
          <w:sz w:val="21"/>
          <w:lang w:val="en-US" w:eastAsia="zh-CN"/>
        </w:rPr>
        <w:t xml:space="preserve"> old NG-RAN node.</w:t>
      </w:r>
    </w:p>
    <w:tbl>
      <w:tblPr>
        <w:tblStyle w:val="3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1"/>
        <w:gridCol w:w="1005"/>
        <w:gridCol w:w="846"/>
        <w:gridCol w:w="1690"/>
        <w:gridCol w:w="1522"/>
        <w:gridCol w:w="1040"/>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vAlign w:val="top"/>
          </w:tcPr>
          <w:p>
            <w:pPr>
              <w:pStyle w:val="79"/>
              <w:rPr>
                <w:lang w:eastAsia="ja-JP"/>
              </w:rPr>
            </w:pPr>
            <w:r>
              <w:rPr>
                <w:lang w:eastAsia="ja-JP"/>
              </w:rPr>
              <w:t>IE/Group Name</w:t>
            </w:r>
          </w:p>
        </w:tc>
        <w:tc>
          <w:tcPr>
            <w:tcW w:w="1005" w:type="dxa"/>
            <w:vAlign w:val="top"/>
          </w:tcPr>
          <w:p>
            <w:pPr>
              <w:pStyle w:val="79"/>
              <w:rPr>
                <w:lang w:eastAsia="ja-JP"/>
              </w:rPr>
            </w:pPr>
            <w:r>
              <w:rPr>
                <w:lang w:eastAsia="ja-JP"/>
              </w:rPr>
              <w:t>Presence</w:t>
            </w:r>
          </w:p>
        </w:tc>
        <w:tc>
          <w:tcPr>
            <w:tcW w:w="846" w:type="dxa"/>
            <w:vAlign w:val="top"/>
          </w:tcPr>
          <w:p>
            <w:pPr>
              <w:pStyle w:val="79"/>
              <w:rPr>
                <w:lang w:eastAsia="ja-JP"/>
              </w:rPr>
            </w:pPr>
            <w:r>
              <w:rPr>
                <w:lang w:eastAsia="ja-JP"/>
              </w:rPr>
              <w:t>Range</w:t>
            </w:r>
          </w:p>
        </w:tc>
        <w:tc>
          <w:tcPr>
            <w:tcW w:w="1690" w:type="dxa"/>
            <w:vAlign w:val="top"/>
          </w:tcPr>
          <w:p>
            <w:pPr>
              <w:pStyle w:val="79"/>
              <w:rPr>
                <w:lang w:eastAsia="ja-JP"/>
              </w:rPr>
            </w:pPr>
            <w:r>
              <w:rPr>
                <w:lang w:eastAsia="ja-JP"/>
              </w:rPr>
              <w:t>IE type and reference</w:t>
            </w:r>
          </w:p>
        </w:tc>
        <w:tc>
          <w:tcPr>
            <w:tcW w:w="1522" w:type="dxa"/>
            <w:vAlign w:val="top"/>
          </w:tcPr>
          <w:p>
            <w:pPr>
              <w:pStyle w:val="79"/>
              <w:rPr>
                <w:lang w:eastAsia="ja-JP"/>
              </w:rPr>
            </w:pPr>
            <w:r>
              <w:rPr>
                <w:lang w:eastAsia="ja-JP"/>
              </w:rPr>
              <w:t>Semantics description</w:t>
            </w:r>
          </w:p>
        </w:tc>
        <w:tc>
          <w:tcPr>
            <w:tcW w:w="1040" w:type="dxa"/>
            <w:vAlign w:val="top"/>
          </w:tcPr>
          <w:p>
            <w:pPr>
              <w:pStyle w:val="79"/>
              <w:rPr>
                <w:lang w:eastAsia="ja-JP"/>
              </w:rPr>
            </w:pPr>
            <w:r>
              <w:rPr>
                <w:lang w:eastAsia="ja-JP"/>
              </w:rPr>
              <w:t>Criticality</w:t>
            </w:r>
          </w:p>
        </w:tc>
        <w:tc>
          <w:tcPr>
            <w:tcW w:w="1014" w:type="dxa"/>
            <w:vAlign w:val="top"/>
          </w:tcPr>
          <w:p>
            <w:pPr>
              <w:pStyle w:val="79"/>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vAlign w:val="top"/>
          </w:tcPr>
          <w:p>
            <w:pPr>
              <w:pStyle w:val="75"/>
              <w:rPr>
                <w:lang w:eastAsia="ja-JP"/>
              </w:rPr>
            </w:pPr>
            <w:r>
              <w:rPr>
                <w:lang w:eastAsia="ja-JP"/>
              </w:rPr>
              <w:t>Message Type</w:t>
            </w:r>
          </w:p>
        </w:tc>
        <w:tc>
          <w:tcPr>
            <w:tcW w:w="1005" w:type="dxa"/>
            <w:vAlign w:val="top"/>
          </w:tcPr>
          <w:p>
            <w:pPr>
              <w:pStyle w:val="75"/>
              <w:rPr>
                <w:lang w:eastAsia="ja-JP"/>
              </w:rPr>
            </w:pPr>
            <w:r>
              <w:rPr>
                <w:lang w:eastAsia="ja-JP"/>
              </w:rPr>
              <w:t>M</w:t>
            </w:r>
          </w:p>
        </w:tc>
        <w:tc>
          <w:tcPr>
            <w:tcW w:w="846" w:type="dxa"/>
            <w:vAlign w:val="top"/>
          </w:tcPr>
          <w:p>
            <w:pPr>
              <w:pStyle w:val="75"/>
              <w:rPr>
                <w:lang w:eastAsia="ja-JP"/>
              </w:rPr>
            </w:pPr>
          </w:p>
        </w:tc>
        <w:tc>
          <w:tcPr>
            <w:tcW w:w="1690" w:type="dxa"/>
            <w:vAlign w:val="top"/>
          </w:tcPr>
          <w:p>
            <w:pPr>
              <w:pStyle w:val="75"/>
              <w:rPr>
                <w:lang w:eastAsia="ja-JP"/>
              </w:rPr>
            </w:pPr>
            <w:r>
              <w:rPr>
                <w:lang w:eastAsia="ja-JP"/>
              </w:rPr>
              <w:t>9.2.3.1</w:t>
            </w:r>
          </w:p>
        </w:tc>
        <w:tc>
          <w:tcPr>
            <w:tcW w:w="1522" w:type="dxa"/>
            <w:vAlign w:val="top"/>
          </w:tcPr>
          <w:p>
            <w:pPr>
              <w:pStyle w:val="75"/>
              <w:rPr>
                <w:lang w:eastAsia="ja-JP"/>
              </w:rPr>
            </w:pPr>
          </w:p>
        </w:tc>
        <w:tc>
          <w:tcPr>
            <w:tcW w:w="1040" w:type="dxa"/>
            <w:vAlign w:val="top"/>
          </w:tcPr>
          <w:p>
            <w:pPr>
              <w:pStyle w:val="74"/>
              <w:rPr>
                <w:lang w:eastAsia="ja-JP"/>
              </w:rPr>
            </w:pPr>
            <w:r>
              <w:rPr>
                <w:lang w:eastAsia="ja-JP"/>
              </w:rPr>
              <w:t>YES</w:t>
            </w:r>
          </w:p>
        </w:tc>
        <w:tc>
          <w:tcPr>
            <w:tcW w:w="1014" w:type="dxa"/>
            <w:vAlign w:val="top"/>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vAlign w:val="top"/>
          </w:tcPr>
          <w:p>
            <w:pPr>
              <w:pStyle w:val="75"/>
              <w:rPr>
                <w:lang w:eastAsia="ja-JP"/>
              </w:rPr>
            </w:pPr>
            <w:r>
              <w:rPr>
                <w:lang w:eastAsia="ja-JP"/>
              </w:rPr>
              <w:t>New NG-RAN node UE XnAP ID reference</w:t>
            </w:r>
          </w:p>
        </w:tc>
        <w:tc>
          <w:tcPr>
            <w:tcW w:w="1005" w:type="dxa"/>
            <w:vAlign w:val="top"/>
          </w:tcPr>
          <w:p>
            <w:pPr>
              <w:pStyle w:val="75"/>
              <w:rPr>
                <w:lang w:eastAsia="ja-JP"/>
              </w:rPr>
            </w:pPr>
            <w:r>
              <w:rPr>
                <w:lang w:eastAsia="ja-JP"/>
              </w:rPr>
              <w:t>M</w:t>
            </w:r>
          </w:p>
        </w:tc>
        <w:tc>
          <w:tcPr>
            <w:tcW w:w="846" w:type="dxa"/>
            <w:vAlign w:val="top"/>
          </w:tcPr>
          <w:p>
            <w:pPr>
              <w:pStyle w:val="75"/>
              <w:rPr>
                <w:lang w:eastAsia="ja-JP"/>
              </w:rPr>
            </w:pPr>
          </w:p>
        </w:tc>
        <w:tc>
          <w:tcPr>
            <w:tcW w:w="1690" w:type="dxa"/>
            <w:vAlign w:val="top"/>
          </w:tcPr>
          <w:p>
            <w:pPr>
              <w:pStyle w:val="75"/>
              <w:rPr>
                <w:lang w:eastAsia="ja-JP"/>
              </w:rPr>
            </w:pPr>
            <w:r>
              <w:rPr>
                <w:lang w:eastAsia="ja-JP"/>
              </w:rPr>
              <w:t>NG-RAN node UE XnAP ID</w:t>
            </w:r>
            <w:r>
              <w:rPr>
                <w:lang w:eastAsia="ja-JP"/>
              </w:rPr>
              <w:br w:type="textWrapping"/>
            </w:r>
            <w:r>
              <w:rPr>
                <w:lang w:eastAsia="ja-JP"/>
              </w:rPr>
              <w:t>9.2.3.16</w:t>
            </w:r>
          </w:p>
        </w:tc>
        <w:tc>
          <w:tcPr>
            <w:tcW w:w="1522" w:type="dxa"/>
            <w:vAlign w:val="top"/>
          </w:tcPr>
          <w:p>
            <w:pPr>
              <w:pStyle w:val="75"/>
              <w:rPr>
                <w:lang w:eastAsia="ja-JP"/>
              </w:rPr>
            </w:pPr>
            <w:r>
              <w:rPr>
                <w:lang w:eastAsia="ja-JP"/>
              </w:rPr>
              <w:t>Allocated at the new NG-RAN node</w:t>
            </w:r>
          </w:p>
        </w:tc>
        <w:tc>
          <w:tcPr>
            <w:tcW w:w="1040" w:type="dxa"/>
            <w:vAlign w:val="top"/>
          </w:tcPr>
          <w:p>
            <w:pPr>
              <w:pStyle w:val="74"/>
              <w:rPr>
                <w:lang w:eastAsia="ja-JP"/>
              </w:rPr>
            </w:pPr>
            <w:r>
              <w:rPr>
                <w:lang w:eastAsia="ja-JP"/>
              </w:rPr>
              <w:t>YES</w:t>
            </w:r>
          </w:p>
        </w:tc>
        <w:tc>
          <w:tcPr>
            <w:tcW w:w="1014" w:type="dxa"/>
            <w:vAlign w:val="top"/>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vAlign w:val="top"/>
          </w:tcPr>
          <w:p>
            <w:pPr>
              <w:pStyle w:val="75"/>
              <w:rPr>
                <w:lang w:eastAsia="ja-JP"/>
              </w:rPr>
            </w:pPr>
            <w:r>
              <w:rPr>
                <w:lang w:eastAsia="ja-JP"/>
              </w:rPr>
              <w:t>UE Context ID</w:t>
            </w:r>
          </w:p>
        </w:tc>
        <w:tc>
          <w:tcPr>
            <w:tcW w:w="1005" w:type="dxa"/>
            <w:vAlign w:val="top"/>
          </w:tcPr>
          <w:p>
            <w:pPr>
              <w:pStyle w:val="75"/>
              <w:rPr>
                <w:lang w:eastAsia="ja-JP"/>
              </w:rPr>
            </w:pPr>
            <w:r>
              <w:rPr>
                <w:lang w:eastAsia="ja-JP"/>
              </w:rPr>
              <w:t>M</w:t>
            </w:r>
          </w:p>
        </w:tc>
        <w:tc>
          <w:tcPr>
            <w:tcW w:w="846" w:type="dxa"/>
            <w:vAlign w:val="top"/>
          </w:tcPr>
          <w:p>
            <w:pPr>
              <w:pStyle w:val="75"/>
              <w:rPr>
                <w:lang w:eastAsia="ja-JP"/>
              </w:rPr>
            </w:pPr>
          </w:p>
        </w:tc>
        <w:tc>
          <w:tcPr>
            <w:tcW w:w="1690" w:type="dxa"/>
            <w:vAlign w:val="top"/>
          </w:tcPr>
          <w:p>
            <w:pPr>
              <w:pStyle w:val="75"/>
              <w:rPr>
                <w:lang w:eastAsia="ja-JP"/>
              </w:rPr>
            </w:pPr>
            <w:r>
              <w:rPr>
                <w:lang w:eastAsia="ja-JP"/>
              </w:rPr>
              <w:t>9.2.3.40</w:t>
            </w:r>
          </w:p>
        </w:tc>
        <w:tc>
          <w:tcPr>
            <w:tcW w:w="1522" w:type="dxa"/>
            <w:vAlign w:val="top"/>
          </w:tcPr>
          <w:p>
            <w:pPr>
              <w:pStyle w:val="75"/>
              <w:rPr>
                <w:lang w:eastAsia="ja-JP"/>
              </w:rPr>
            </w:pPr>
          </w:p>
        </w:tc>
        <w:tc>
          <w:tcPr>
            <w:tcW w:w="1040" w:type="dxa"/>
            <w:vAlign w:val="top"/>
          </w:tcPr>
          <w:p>
            <w:pPr>
              <w:pStyle w:val="74"/>
              <w:rPr>
                <w:lang w:eastAsia="ja-JP"/>
              </w:rPr>
            </w:pPr>
            <w:r>
              <w:rPr>
                <w:lang w:eastAsia="ja-JP"/>
              </w:rPr>
              <w:t>YES</w:t>
            </w:r>
          </w:p>
        </w:tc>
        <w:tc>
          <w:tcPr>
            <w:tcW w:w="1014" w:type="dxa"/>
            <w:vAlign w:val="top"/>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vAlign w:val="top"/>
          </w:tcPr>
          <w:p>
            <w:pPr>
              <w:pStyle w:val="75"/>
              <w:rPr>
                <w:lang w:eastAsia="ja-JP"/>
              </w:rPr>
            </w:pPr>
            <w:r>
              <w:t>Integrity protection</w:t>
            </w:r>
          </w:p>
        </w:tc>
        <w:tc>
          <w:tcPr>
            <w:tcW w:w="1005" w:type="dxa"/>
            <w:vAlign w:val="top"/>
          </w:tcPr>
          <w:p>
            <w:pPr>
              <w:pStyle w:val="75"/>
              <w:rPr>
                <w:lang w:eastAsia="ja-JP"/>
              </w:rPr>
            </w:pPr>
            <w:r>
              <w:rPr>
                <w:lang w:eastAsia="ja-JP"/>
              </w:rPr>
              <w:t>M</w:t>
            </w:r>
          </w:p>
        </w:tc>
        <w:tc>
          <w:tcPr>
            <w:tcW w:w="846" w:type="dxa"/>
            <w:vAlign w:val="top"/>
          </w:tcPr>
          <w:p>
            <w:pPr>
              <w:pStyle w:val="75"/>
              <w:rPr>
                <w:lang w:eastAsia="ja-JP"/>
              </w:rPr>
            </w:pPr>
          </w:p>
        </w:tc>
        <w:tc>
          <w:tcPr>
            <w:tcW w:w="1690" w:type="dxa"/>
            <w:vAlign w:val="top"/>
          </w:tcPr>
          <w:p>
            <w:pPr>
              <w:pStyle w:val="75"/>
              <w:rPr>
                <w:lang w:eastAsia="ja-JP"/>
              </w:rPr>
            </w:pPr>
            <w:r>
              <w:rPr>
                <w:lang w:eastAsia="ja-JP"/>
              </w:rPr>
              <w:t xml:space="preserve">BIT STRING (SIZE (16)) </w:t>
            </w:r>
          </w:p>
        </w:tc>
        <w:tc>
          <w:tcPr>
            <w:tcW w:w="1522" w:type="dxa"/>
            <w:vAlign w:val="top"/>
          </w:tcPr>
          <w:p>
            <w:pPr>
              <w:pStyle w:val="75"/>
              <w:rPr>
                <w:lang w:eastAsia="ja-JP"/>
              </w:rPr>
            </w:pPr>
            <w:r>
              <w:rPr>
                <w:i/>
                <w:lang w:eastAsia="ja-JP"/>
              </w:rPr>
              <w:t>ShortMAC-I</w:t>
            </w:r>
            <w:r>
              <w:rPr>
                <w:lang w:eastAsia="ja-JP"/>
              </w:rPr>
              <w:t xml:space="preserve"> either contained in the </w:t>
            </w:r>
            <w:r>
              <w:rPr>
                <w:i/>
                <w:lang w:eastAsia="ja-JP"/>
              </w:rPr>
              <w:t xml:space="preserve">RRCConnection ResumeRequest </w:t>
            </w:r>
            <w:r>
              <w:rPr>
                <w:lang w:eastAsia="ja-JP"/>
              </w:rPr>
              <w:t>message as defined in TS 38.331 [10])</w:t>
            </w:r>
          </w:p>
          <w:p>
            <w:pPr>
              <w:pStyle w:val="75"/>
            </w:pPr>
            <w:r>
              <w:rPr>
                <w:lang w:eastAsia="ja-JP"/>
              </w:rPr>
              <w:t xml:space="preserve">or in the </w:t>
            </w:r>
            <w:r>
              <w:rPr>
                <w:i/>
                <w:lang w:eastAsia="ja-JP"/>
              </w:rPr>
              <w:t xml:space="preserve">RRCConnection ResumeRequest </w:t>
            </w:r>
            <w:r>
              <w:rPr>
                <w:lang w:eastAsia="ja-JP"/>
              </w:rPr>
              <w:t>message as defined in TS 36.331 [14])</w:t>
            </w:r>
          </w:p>
        </w:tc>
        <w:tc>
          <w:tcPr>
            <w:tcW w:w="1040" w:type="dxa"/>
            <w:vAlign w:val="top"/>
          </w:tcPr>
          <w:p>
            <w:pPr>
              <w:pStyle w:val="74"/>
              <w:rPr>
                <w:lang w:eastAsia="ja-JP"/>
              </w:rPr>
            </w:pPr>
            <w:r>
              <w:rPr>
                <w:lang w:eastAsia="ja-JP"/>
              </w:rPr>
              <w:t>YES</w:t>
            </w:r>
          </w:p>
        </w:tc>
        <w:tc>
          <w:tcPr>
            <w:tcW w:w="1014" w:type="dxa"/>
            <w:vAlign w:val="top"/>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vAlign w:val="top"/>
          </w:tcPr>
          <w:p>
            <w:pPr>
              <w:pStyle w:val="75"/>
              <w:rPr>
                <w:highlight w:val="yellow"/>
                <w:lang w:eastAsia="ja-JP"/>
              </w:rPr>
            </w:pPr>
            <w:r>
              <w:rPr>
                <w:highlight w:val="yellow"/>
                <w:lang w:eastAsia="ja-JP"/>
              </w:rPr>
              <w:t>New Cell Identifier</w:t>
            </w:r>
          </w:p>
        </w:tc>
        <w:tc>
          <w:tcPr>
            <w:tcW w:w="1005" w:type="dxa"/>
            <w:vAlign w:val="top"/>
          </w:tcPr>
          <w:p>
            <w:pPr>
              <w:pStyle w:val="75"/>
              <w:rPr>
                <w:highlight w:val="yellow"/>
                <w:lang w:eastAsia="ja-JP"/>
              </w:rPr>
            </w:pPr>
            <w:r>
              <w:rPr>
                <w:highlight w:val="yellow"/>
                <w:lang w:eastAsia="ja-JP"/>
              </w:rPr>
              <w:t>M</w:t>
            </w:r>
          </w:p>
        </w:tc>
        <w:tc>
          <w:tcPr>
            <w:tcW w:w="846" w:type="dxa"/>
            <w:vAlign w:val="top"/>
          </w:tcPr>
          <w:p>
            <w:pPr>
              <w:pStyle w:val="75"/>
              <w:rPr>
                <w:highlight w:val="yellow"/>
                <w:lang w:eastAsia="ja-JP"/>
              </w:rPr>
            </w:pPr>
          </w:p>
        </w:tc>
        <w:tc>
          <w:tcPr>
            <w:tcW w:w="1690" w:type="dxa"/>
            <w:vAlign w:val="top"/>
          </w:tcPr>
          <w:p>
            <w:pPr>
              <w:pStyle w:val="75"/>
              <w:rPr>
                <w:highlight w:val="yellow"/>
                <w:lang w:eastAsia="ja-JP"/>
              </w:rPr>
            </w:pPr>
            <w:r>
              <w:rPr>
                <w:highlight w:val="yellow"/>
                <w:lang w:eastAsia="ja-JP"/>
              </w:rPr>
              <w:t>NG-RAN Cell Identity</w:t>
            </w:r>
          </w:p>
          <w:p>
            <w:pPr>
              <w:pStyle w:val="75"/>
              <w:rPr>
                <w:highlight w:val="yellow"/>
                <w:lang w:eastAsia="ja-JP"/>
              </w:rPr>
            </w:pPr>
            <w:r>
              <w:rPr>
                <w:highlight w:val="yellow"/>
                <w:lang w:eastAsia="ja-JP"/>
              </w:rPr>
              <w:t>9.2.2.9</w:t>
            </w:r>
          </w:p>
        </w:tc>
        <w:tc>
          <w:tcPr>
            <w:tcW w:w="1522" w:type="dxa"/>
            <w:vAlign w:val="top"/>
          </w:tcPr>
          <w:p>
            <w:pPr>
              <w:pStyle w:val="75"/>
              <w:rPr>
                <w:highlight w:val="yellow"/>
                <w:lang w:eastAsia="ja-JP"/>
              </w:rPr>
            </w:pPr>
            <w:r>
              <w:rPr>
                <w:highlight w:val="yellow"/>
                <w:lang w:eastAsia="ja-JP"/>
              </w:rPr>
              <w:t xml:space="preserve">The Cell Identifier of the cell where the RRC connection has been requested to be resumed </w:t>
            </w:r>
            <w:r>
              <w:rPr>
                <w:rFonts w:hint="eastAsia" w:eastAsia="宋体"/>
                <w:highlight w:val="yellow"/>
                <w:lang w:eastAsia="zh-CN"/>
              </w:rPr>
              <w:t xml:space="preserve">or </w:t>
            </w:r>
            <w:r>
              <w:rPr>
                <w:rFonts w:eastAsia="宋体"/>
                <w:highlight w:val="yellow"/>
                <w:lang w:eastAsia="zh-CN"/>
              </w:rPr>
              <w:t xml:space="preserve">to </w:t>
            </w:r>
            <w:r>
              <w:rPr>
                <w:rFonts w:hint="eastAsia" w:eastAsia="宋体"/>
                <w:highlight w:val="yellow"/>
                <w:lang w:eastAsia="zh-CN"/>
              </w:rPr>
              <w:t xml:space="preserve">be </w:t>
            </w:r>
            <w:r>
              <w:rPr>
                <w:rFonts w:eastAsia="宋体"/>
                <w:highlight w:val="yellow"/>
                <w:lang w:eastAsia="zh-CN"/>
              </w:rPr>
              <w:t>re-established</w:t>
            </w:r>
            <w:r>
              <w:rPr>
                <w:highlight w:val="yellow"/>
                <w:lang w:eastAsia="ja-JP"/>
              </w:rPr>
              <w:t>.</w:t>
            </w:r>
          </w:p>
        </w:tc>
        <w:tc>
          <w:tcPr>
            <w:tcW w:w="1040" w:type="dxa"/>
            <w:vAlign w:val="top"/>
          </w:tcPr>
          <w:p>
            <w:pPr>
              <w:pStyle w:val="74"/>
              <w:rPr>
                <w:highlight w:val="yellow"/>
                <w:lang w:eastAsia="ja-JP"/>
              </w:rPr>
            </w:pPr>
            <w:r>
              <w:rPr>
                <w:highlight w:val="yellow"/>
                <w:lang w:eastAsia="ja-JP"/>
              </w:rPr>
              <w:t>YES</w:t>
            </w:r>
          </w:p>
        </w:tc>
        <w:tc>
          <w:tcPr>
            <w:tcW w:w="1014" w:type="dxa"/>
            <w:vAlign w:val="top"/>
          </w:tcPr>
          <w:p>
            <w:pPr>
              <w:pStyle w:val="74"/>
              <w:rPr>
                <w:highlight w:val="yellow"/>
                <w:lang w:eastAsia="ja-JP"/>
              </w:rPr>
            </w:pPr>
            <w:r>
              <w:rPr>
                <w:highlight w:val="yellow"/>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vAlign w:val="top"/>
          </w:tcPr>
          <w:p>
            <w:pPr>
              <w:pStyle w:val="75"/>
              <w:rPr>
                <w:lang w:eastAsia="ja-JP"/>
              </w:rPr>
            </w:pPr>
            <w:r>
              <w:rPr>
                <w:lang w:eastAsia="ja-JP"/>
              </w:rPr>
              <w:t>RRC Resume Cause</w:t>
            </w:r>
          </w:p>
        </w:tc>
        <w:tc>
          <w:tcPr>
            <w:tcW w:w="1005" w:type="dxa"/>
            <w:vAlign w:val="top"/>
          </w:tcPr>
          <w:p>
            <w:pPr>
              <w:pStyle w:val="75"/>
              <w:rPr>
                <w:lang w:eastAsia="ja-JP"/>
              </w:rPr>
            </w:pPr>
            <w:r>
              <w:rPr>
                <w:lang w:eastAsia="ja-JP"/>
              </w:rPr>
              <w:t>O</w:t>
            </w:r>
          </w:p>
        </w:tc>
        <w:tc>
          <w:tcPr>
            <w:tcW w:w="846" w:type="dxa"/>
            <w:vAlign w:val="top"/>
          </w:tcPr>
          <w:p>
            <w:pPr>
              <w:pStyle w:val="75"/>
              <w:rPr>
                <w:lang w:eastAsia="ja-JP"/>
              </w:rPr>
            </w:pPr>
          </w:p>
        </w:tc>
        <w:tc>
          <w:tcPr>
            <w:tcW w:w="1690" w:type="dxa"/>
            <w:vAlign w:val="top"/>
          </w:tcPr>
          <w:p>
            <w:pPr>
              <w:pStyle w:val="75"/>
              <w:rPr>
                <w:lang w:eastAsia="ja-JP"/>
              </w:rPr>
            </w:pPr>
            <w:r>
              <w:rPr>
                <w:lang w:eastAsia="ja-JP"/>
              </w:rPr>
              <w:t>9.2.3.61</w:t>
            </w:r>
          </w:p>
        </w:tc>
        <w:tc>
          <w:tcPr>
            <w:tcW w:w="1522" w:type="dxa"/>
            <w:vAlign w:val="top"/>
          </w:tcPr>
          <w:p>
            <w:pPr>
              <w:keepNext/>
              <w:keepLines/>
              <w:spacing w:after="0"/>
              <w:rPr>
                <w:rFonts w:ascii="Arial" w:hAnsi="Arial"/>
                <w:sz w:val="18"/>
                <w:lang w:eastAsia="ja-JP"/>
              </w:rPr>
            </w:pPr>
            <w:r>
              <w:rPr>
                <w:rFonts w:ascii="Arial" w:hAnsi="Arial"/>
                <w:sz w:val="18"/>
                <w:lang w:eastAsia="ja-JP"/>
              </w:rPr>
              <w:t xml:space="preserve">In case of RNA Update, contains the cause value provided by the UE in the </w:t>
            </w:r>
            <w:r>
              <w:rPr>
                <w:rFonts w:ascii="Arial" w:hAnsi="Arial"/>
                <w:i/>
                <w:sz w:val="18"/>
                <w:lang w:eastAsia="ja-JP"/>
              </w:rPr>
              <w:t xml:space="preserve">RRC ResumeRequest </w:t>
            </w:r>
            <w:r>
              <w:rPr>
                <w:rFonts w:ascii="Arial" w:hAnsi="Arial"/>
                <w:sz w:val="18"/>
                <w:lang w:eastAsia="ja-JP"/>
              </w:rPr>
              <w:t>message, as defined in TS 38.331 [10],</w:t>
            </w:r>
          </w:p>
          <w:p>
            <w:pPr>
              <w:pStyle w:val="75"/>
              <w:rPr>
                <w:lang w:eastAsia="ja-JP"/>
              </w:rPr>
            </w:pPr>
            <w:r>
              <w:rPr>
                <w:lang w:eastAsia="ja-JP"/>
              </w:rPr>
              <w:t xml:space="preserve">or in the </w:t>
            </w:r>
            <w:r>
              <w:rPr>
                <w:i/>
                <w:lang w:eastAsia="ja-JP"/>
              </w:rPr>
              <w:t xml:space="preserve">RRCConnection ResumeRequest </w:t>
            </w:r>
            <w:r>
              <w:rPr>
                <w:lang w:eastAsia="ja-JP"/>
              </w:rPr>
              <w:t>message, as defined in TS 36.331 [14].</w:t>
            </w:r>
          </w:p>
        </w:tc>
        <w:tc>
          <w:tcPr>
            <w:tcW w:w="1040" w:type="dxa"/>
            <w:vAlign w:val="top"/>
          </w:tcPr>
          <w:p>
            <w:pPr>
              <w:pStyle w:val="74"/>
              <w:rPr>
                <w:lang w:eastAsia="ja-JP"/>
              </w:rPr>
            </w:pPr>
            <w:r>
              <w:rPr>
                <w:lang w:eastAsia="ja-JP"/>
              </w:rPr>
              <w:t>YES</w:t>
            </w:r>
          </w:p>
        </w:tc>
        <w:tc>
          <w:tcPr>
            <w:tcW w:w="1014" w:type="dxa"/>
            <w:vAlign w:val="top"/>
          </w:tcPr>
          <w:p>
            <w:pPr>
              <w:pStyle w:val="74"/>
              <w:rPr>
                <w:lang w:eastAsia="ja-JP"/>
              </w:rPr>
            </w:pPr>
            <w:r>
              <w:rPr>
                <w:lang w:eastAsia="ja-JP"/>
              </w:rPr>
              <w:t>ignore</w:t>
            </w:r>
          </w:p>
        </w:tc>
      </w:tr>
    </w:tbl>
    <w:p>
      <w:pPr>
        <w:pStyle w:val="11"/>
        <w:rPr>
          <w:rFonts w:hint="eastAsia" w:ascii="Times New Roman" w:hAnsi="Times New Roman" w:eastAsia="宋体" w:cs="Times New Roman"/>
          <w:sz w:val="21"/>
          <w:lang w:val="en-US" w:eastAsia="zh-CN"/>
        </w:rPr>
      </w:pP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From 38.423 f10 ---------------------------------------------------</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It can be observed that only one </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ja-JP"/>
        </w:rPr>
        <w:t>New Cell Identifier</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zh-CN"/>
        </w:rPr>
        <w:t xml:space="preserve"> will be included in the RETRIEVE UE CONTEXT REQUEST, it also not clear the cell id of which PLMN will be used as </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ja-JP"/>
        </w:rPr>
        <w:t>New Cell Identifier</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zh-CN"/>
        </w:rPr>
        <w:t>. Some discussion has been made in RAN3 but it seems more input from RAN2 is needed to understand which cell id will be used in the short-MAC-I verification.</w:t>
      </w:r>
    </w:p>
    <w:p>
      <w:pPr>
        <w:pStyle w:val="11"/>
        <w:rPr>
          <w:rFonts w:hint="eastAsia" w:ascii="Times New Roman" w:hAnsi="Times New Roman" w:eastAsia="宋体" w:cs="Times New Roman"/>
          <w:b/>
          <w:bCs/>
          <w:sz w:val="21"/>
          <w:lang w:val="en-US" w:eastAsia="zh-CN"/>
        </w:rPr>
      </w:pPr>
      <w:r>
        <w:rPr>
          <w:rFonts w:hint="eastAsia" w:ascii="Times New Roman" w:hAnsi="Times New Roman" w:eastAsia="宋体" w:cs="Times New Roman"/>
          <w:b/>
          <w:bCs/>
          <w:sz w:val="21"/>
          <w:lang w:val="en-US" w:eastAsia="zh-CN"/>
        </w:rPr>
        <w:t xml:space="preserve">Observation 3: To avoid the ambiguity in both RAN2 and RAN3, and avoid the unnecessary calculation/comparison of short-MAC-I multiple times for different PLMN, the PLMN of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in VarResumeMAC-Input should be clarified.</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Considering the </w:t>
      </w:r>
      <w:r>
        <w:rPr>
          <w:rFonts w:hint="default" w:ascii="Times New Roman" w:hAnsi="Times New Roman" w:eastAsia="宋体" w:cs="Times New Roman"/>
          <w:sz w:val="21"/>
          <w:lang w:val="en-US" w:eastAsia="zh-CN"/>
        </w:rPr>
        <w:t>targetCellIdentity</w:t>
      </w:r>
      <w:r>
        <w:rPr>
          <w:rFonts w:hint="eastAsia" w:ascii="Times New Roman" w:hAnsi="Times New Roman" w:eastAsia="宋体" w:cs="Times New Roman"/>
          <w:sz w:val="21"/>
          <w:lang w:val="en-US" w:eastAsia="zh-CN"/>
        </w:rPr>
        <w:t xml:space="preserve"> in </w:t>
      </w:r>
      <w:r>
        <w:rPr>
          <w:rFonts w:hint="default" w:ascii="Times New Roman" w:hAnsi="Times New Roman" w:eastAsia="宋体" w:cs="Times New Roman"/>
          <w:sz w:val="21"/>
          <w:lang w:val="en-US" w:eastAsia="zh-CN"/>
        </w:rPr>
        <w:t>VarResumeMAC-Input</w:t>
      </w:r>
      <w:r>
        <w:rPr>
          <w:rFonts w:hint="eastAsia" w:ascii="Times New Roman" w:hAnsi="Times New Roman" w:eastAsia="宋体" w:cs="Times New Roman"/>
          <w:sz w:val="21"/>
          <w:lang w:val="en-US" w:eastAsia="zh-CN"/>
        </w:rPr>
        <w:t xml:space="preserve"> will only be used in the calculation of short-MAC-I as an input parameter, we think the PLMN of </w:t>
      </w:r>
      <w:r>
        <w:rPr>
          <w:rFonts w:hint="default" w:ascii="Times New Roman" w:hAnsi="Times New Roman" w:eastAsia="宋体" w:cs="Times New Roman"/>
          <w:sz w:val="21"/>
          <w:lang w:val="en-US" w:eastAsia="zh-CN"/>
        </w:rPr>
        <w:t>targetCellIdentity</w:t>
      </w:r>
      <w:r>
        <w:rPr>
          <w:rFonts w:hint="eastAsia" w:ascii="Times New Roman" w:hAnsi="Times New Roman" w:eastAsia="宋体" w:cs="Times New Roman"/>
          <w:sz w:val="21"/>
          <w:lang w:val="en-US" w:eastAsia="zh-CN"/>
        </w:rPr>
        <w:t xml:space="preserve"> can be different from the cell id of the PLMN selected by UE. </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The similar PLMN ambiguity issue has also be discussed in the handling of </w:t>
      </w:r>
      <w:r>
        <w:rPr>
          <w:rFonts w:hint="default" w:ascii="Times New Roman" w:hAnsi="Times New Roman" w:eastAsia="宋体" w:cs="Times New Roman"/>
          <w:sz w:val="21"/>
          <w:lang w:val="en-US" w:eastAsia="zh-CN"/>
        </w:rPr>
        <w:t>“</w:t>
      </w:r>
      <w:r>
        <w:rPr>
          <w:rFonts w:hint="default" w:ascii="Times New Roman" w:hAnsi="Times New Roman" w:eastAsia="宋体" w:cs="Times New Roman"/>
          <w:sz w:val="21"/>
          <w:lang w:val="en-GB" w:eastAsia="ja-JP"/>
        </w:rPr>
        <w:t>systemInformationAreaID</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zh-CN"/>
        </w:rPr>
        <w:t>, and it is agreed that t</w:t>
      </w:r>
      <w:r>
        <w:rPr>
          <w:rFonts w:hint="default" w:ascii="Times New Roman" w:hAnsi="Times New Roman" w:eastAsia="宋体" w:cs="Times New Roman"/>
          <w:sz w:val="21"/>
          <w:lang w:val="en-GB" w:eastAsia="ja-JP"/>
        </w:rPr>
        <w:t xml:space="preserve">he systemInformationAreaID is </w:t>
      </w:r>
      <w:r>
        <w:rPr>
          <w:rFonts w:hint="eastAsia" w:ascii="Times New Roman" w:hAnsi="Times New Roman" w:eastAsia="宋体" w:cs="Times New Roman"/>
          <w:sz w:val="21"/>
          <w:lang w:val="en-US" w:eastAsia="zh-CN"/>
        </w:rPr>
        <w:t xml:space="preserve">always linked to the </w:t>
      </w:r>
      <w:r>
        <w:rPr>
          <w:rFonts w:hint="default" w:ascii="Times New Roman" w:hAnsi="Times New Roman" w:eastAsia="宋体" w:cs="Times New Roman"/>
          <w:sz w:val="21"/>
          <w:lang w:val="en-GB" w:eastAsia="ja-JP"/>
        </w:rPr>
        <w:t>first PLMN-Identity included in the PLMN-IdentityInfoList.</w:t>
      </w:r>
      <w:r>
        <w:rPr>
          <w:rFonts w:hint="eastAsia" w:ascii="Times New Roman" w:hAnsi="Times New Roman" w:eastAsia="宋体" w:cs="Times New Roman"/>
          <w:sz w:val="21"/>
          <w:lang w:val="en-US" w:eastAsia="zh-CN"/>
        </w:rPr>
        <w:t xml:space="preserve"> In order to avoid the ambiguity in the calculation of short-MAC-I, we think the similar way can be used here as well that the </w:t>
      </w:r>
      <w:r>
        <w:rPr>
          <w:rFonts w:hint="default" w:ascii="Times New Roman" w:hAnsi="Times New Roman" w:eastAsia="宋体" w:cs="Times New Roman"/>
          <w:sz w:val="21"/>
          <w:lang w:val="en-US" w:eastAsia="zh-CN"/>
        </w:rPr>
        <w:t>targetCellIdentity</w:t>
      </w:r>
      <w:r>
        <w:rPr>
          <w:rFonts w:hint="eastAsia" w:ascii="Times New Roman" w:hAnsi="Times New Roman" w:eastAsia="宋体" w:cs="Times New Roman"/>
          <w:sz w:val="21"/>
          <w:lang w:val="en-US" w:eastAsia="zh-CN"/>
        </w:rPr>
        <w:t xml:space="preserve"> in </w:t>
      </w:r>
      <w:r>
        <w:rPr>
          <w:rFonts w:hint="default" w:ascii="Times New Roman" w:hAnsi="Times New Roman" w:eastAsia="宋体" w:cs="Times New Roman"/>
          <w:sz w:val="21"/>
          <w:lang w:val="en-US" w:eastAsia="zh-CN"/>
        </w:rPr>
        <w:t>VarResumeMAC-Input</w:t>
      </w:r>
      <w:r>
        <w:rPr>
          <w:rFonts w:hint="eastAsia" w:ascii="Times New Roman" w:hAnsi="Times New Roman" w:eastAsia="宋体" w:cs="Times New Roman"/>
          <w:sz w:val="21"/>
          <w:lang w:val="en-US" w:eastAsia="zh-CN"/>
        </w:rPr>
        <w:t xml:space="preserve"> belongs to the PLMN indicated by the </w:t>
      </w:r>
      <w:r>
        <w:rPr>
          <w:rFonts w:hint="default" w:ascii="Times New Roman" w:hAnsi="Times New Roman" w:eastAsia="宋体" w:cs="Times New Roman"/>
          <w:sz w:val="21"/>
          <w:lang w:val="en-GB" w:eastAsia="ja-JP"/>
        </w:rPr>
        <w:t>first PLMN-Identity included in the PLMN-IdentityInfoList</w:t>
      </w:r>
      <w:r>
        <w:rPr>
          <w:rFonts w:hint="eastAsia" w:ascii="Times New Roman" w:hAnsi="Times New Roman" w:eastAsia="宋体" w:cs="Times New Roman"/>
          <w:sz w:val="21"/>
          <w:lang w:val="en-US" w:eastAsia="zh-CN"/>
        </w:rPr>
        <w:t>.</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b/>
          <w:bCs/>
          <w:sz w:val="21"/>
          <w:lang w:val="en-US" w:eastAsia="zh-CN"/>
        </w:rPr>
        <w:t xml:space="preserve">Observation 4: The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in </w:t>
      </w:r>
      <w:r>
        <w:rPr>
          <w:rFonts w:hint="default" w:ascii="Times New Roman" w:hAnsi="Times New Roman" w:eastAsia="宋体" w:cs="Times New Roman"/>
          <w:b/>
          <w:bCs/>
          <w:sz w:val="21"/>
          <w:lang w:val="en-US" w:eastAsia="zh-CN"/>
        </w:rPr>
        <w:t>VarResumeMAC-Input</w:t>
      </w:r>
      <w:r>
        <w:rPr>
          <w:rFonts w:hint="eastAsia" w:ascii="Times New Roman" w:hAnsi="Times New Roman" w:eastAsia="宋体" w:cs="Times New Roman"/>
          <w:b/>
          <w:bCs/>
          <w:sz w:val="21"/>
          <w:lang w:val="en-US" w:eastAsia="zh-CN"/>
        </w:rPr>
        <w:t xml:space="preserve"> will only be used in the calculation of short-MAC-I as an input parameter, the PLMN of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can be different from the PLMN selected by UE.</w:t>
      </w:r>
    </w:p>
    <w:p>
      <w:pPr>
        <w:pStyle w:val="11"/>
        <w:rPr>
          <w:rFonts w:hint="eastAsia" w:ascii="Times New Roman" w:hAnsi="Times New Roman" w:eastAsia="宋体" w:cs="Times New Roman"/>
          <w:b/>
          <w:bCs/>
          <w:sz w:val="21"/>
          <w:lang w:val="en-GB" w:eastAsia="ja-JP"/>
        </w:rPr>
      </w:pPr>
      <w:r>
        <w:rPr>
          <w:rFonts w:hint="eastAsia" w:ascii="Times New Roman" w:hAnsi="Times New Roman" w:eastAsia="宋体" w:cs="Times New Roman"/>
          <w:b/>
          <w:bCs/>
          <w:sz w:val="21"/>
          <w:lang w:val="en-US" w:eastAsia="zh-CN"/>
        </w:rPr>
        <w:t xml:space="preserve">Proposal 1: The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in </w:t>
      </w:r>
      <w:r>
        <w:rPr>
          <w:rFonts w:hint="default" w:ascii="Times New Roman" w:hAnsi="Times New Roman" w:eastAsia="宋体" w:cs="Times New Roman"/>
          <w:b/>
          <w:bCs/>
          <w:sz w:val="21"/>
          <w:lang w:val="en-US" w:eastAsia="zh-CN"/>
        </w:rPr>
        <w:t>VarResumeMAC-Input</w:t>
      </w:r>
      <w:r>
        <w:rPr>
          <w:rFonts w:hint="eastAsia" w:ascii="Times New Roman" w:hAnsi="Times New Roman" w:eastAsia="宋体" w:cs="Times New Roman"/>
          <w:b/>
          <w:bCs/>
          <w:sz w:val="21"/>
          <w:lang w:val="en-US" w:eastAsia="zh-CN"/>
        </w:rPr>
        <w:t xml:space="preserve"> is</w:t>
      </w:r>
      <w:r>
        <w:rPr>
          <w:rFonts w:hint="eastAsia" w:ascii="Times New Roman" w:hAnsi="Times New Roman" w:eastAsia="宋体" w:cs="Times New Roman"/>
          <w:b/>
          <w:bCs/>
          <w:sz w:val="21"/>
          <w:lang w:val="en-GB" w:eastAsia="ja-JP"/>
        </w:rPr>
        <w:t xml:space="preserve"> associated with the first PLMN-Identity included in the PLMN-IdentityInfoList.</w:t>
      </w:r>
    </w:p>
    <w:p>
      <w:pPr>
        <w:pStyle w:val="11"/>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 xml:space="preserve">Besides the resume procedure, the similar ambiguity exist in the short MAC-I calculation for re-establishment as well. To avoid such ambiguity, we propose to have a common behaviour on the determination of </w:t>
      </w:r>
      <w:r>
        <w:rPr>
          <w:rFonts w:hint="default" w:ascii="Times New Roman" w:hAnsi="Times New Roman" w:eastAsia="宋体" w:cs="Times New Roman"/>
          <w:sz w:val="21"/>
          <w:lang w:val="en-US" w:eastAsia="zh-CN"/>
        </w:rPr>
        <w:t>targetCellIdentity</w:t>
      </w:r>
      <w:r>
        <w:rPr>
          <w:rFonts w:hint="eastAsia" w:ascii="Times New Roman" w:hAnsi="Times New Roman" w:eastAsia="宋体" w:cs="Times New Roman"/>
          <w:sz w:val="21"/>
          <w:lang w:val="en-US" w:eastAsia="zh-CN"/>
        </w:rPr>
        <w:t>.</w:t>
      </w:r>
    </w:p>
    <w:p>
      <w:pPr>
        <w:pStyle w:val="11"/>
        <w:rPr>
          <w:rFonts w:hint="eastAsia" w:ascii="Times New Roman" w:hAnsi="Times New Roman" w:eastAsia="宋体" w:cs="Times New Roman"/>
          <w:b/>
          <w:bCs/>
          <w:sz w:val="21"/>
          <w:lang w:val="en-US" w:eastAsia="zh-CN"/>
        </w:rPr>
      </w:pPr>
      <w:r>
        <w:rPr>
          <w:rFonts w:hint="eastAsia" w:ascii="Times New Roman" w:hAnsi="Times New Roman" w:eastAsia="宋体" w:cs="Times New Roman"/>
          <w:b/>
          <w:bCs/>
          <w:sz w:val="21"/>
          <w:lang w:val="en-US" w:eastAsia="zh-CN"/>
        </w:rPr>
        <w:t xml:space="preserve">Proposal 2: The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in </w:t>
      </w:r>
      <w:r>
        <w:rPr>
          <w:rFonts w:hint="default" w:ascii="Times New Roman" w:hAnsi="Times New Roman" w:eastAsia="宋体" w:cs="Times New Roman"/>
          <w:b/>
          <w:bCs/>
          <w:sz w:val="21"/>
          <w:lang w:val="en-US" w:eastAsia="zh-CN"/>
        </w:rPr>
        <w:t>VarShortMAC-Input</w:t>
      </w:r>
      <w:r>
        <w:rPr>
          <w:rFonts w:hint="eastAsia" w:ascii="Times New Roman" w:hAnsi="Times New Roman" w:eastAsia="宋体" w:cs="Times New Roman"/>
          <w:b/>
          <w:bCs/>
          <w:sz w:val="21"/>
          <w:lang w:val="en-US" w:eastAsia="zh-CN"/>
        </w:rPr>
        <w:t xml:space="preserve"> is</w:t>
      </w:r>
      <w:r>
        <w:rPr>
          <w:rFonts w:hint="eastAsia" w:ascii="Times New Roman" w:hAnsi="Times New Roman" w:eastAsia="宋体" w:cs="Times New Roman"/>
          <w:b/>
          <w:bCs/>
          <w:sz w:val="21"/>
          <w:lang w:val="en-GB" w:eastAsia="ja-JP"/>
        </w:rPr>
        <w:t xml:space="preserve"> associated with the first PLMN-Identity included in the PLMN-IdentityInfoList.</w:t>
      </w:r>
    </w:p>
    <w:p>
      <w:pPr>
        <w:pStyle w:val="2"/>
        <w:pBdr>
          <w:top w:val="single" w:color="auto" w:sz="4" w:space="1"/>
        </w:pBdr>
        <w:jc w:val="both"/>
      </w:pPr>
      <w:r>
        <w:t>Conclusion</w:t>
      </w:r>
    </w:p>
    <w:p>
      <w:pPr>
        <w:pStyle w:val="11"/>
        <w:rPr>
          <w:rFonts w:hint="eastAsia" w:eastAsia="宋体"/>
          <w:sz w:val="21"/>
          <w:szCs w:val="28"/>
          <w:lang w:eastAsia="zh-CN"/>
        </w:rPr>
      </w:pPr>
      <w:r>
        <w:rPr>
          <w:rFonts w:hint="eastAsia" w:eastAsia="宋体"/>
          <w:sz w:val="21"/>
          <w:szCs w:val="28"/>
          <w:lang w:eastAsia="zh-CN"/>
        </w:rPr>
        <w:t>Based on the analysis given above, we give our proposal as follow:</w:t>
      </w:r>
    </w:p>
    <w:p>
      <w:pPr>
        <w:pStyle w:val="11"/>
        <w:rPr>
          <w:rFonts w:hint="eastAsia" w:ascii="Times New Roman" w:hAnsi="Times New Roman" w:eastAsia="宋体" w:cs="Times New Roman"/>
          <w:b w:val="0"/>
          <w:bCs w:val="0"/>
          <w:i/>
          <w:iCs/>
          <w:sz w:val="21"/>
          <w:lang w:val="en-US" w:eastAsia="zh-CN"/>
        </w:rPr>
      </w:pPr>
      <w:r>
        <w:rPr>
          <w:rFonts w:hint="eastAsia" w:ascii="Times New Roman" w:hAnsi="Times New Roman" w:eastAsia="宋体" w:cs="Times New Roman"/>
          <w:b w:val="0"/>
          <w:bCs w:val="0"/>
          <w:i/>
          <w:iCs/>
          <w:sz w:val="21"/>
          <w:lang w:val="en-US" w:eastAsia="zh-CN"/>
        </w:rPr>
        <w:t xml:space="preserve">Observation 1: For the resume procedure, the PLMN ID of source cell and PLMN ID for the target cell can be different (e.g. different but within the </w:t>
      </w:r>
      <w:r>
        <w:rPr>
          <w:rFonts w:hint="default" w:ascii="Times New Roman" w:hAnsi="Times New Roman" w:eastAsia="宋体" w:cs="Times New Roman"/>
          <w:b w:val="0"/>
          <w:bCs w:val="0"/>
          <w:i/>
          <w:iCs/>
          <w:sz w:val="21"/>
          <w:lang w:val="en-US" w:eastAsia="zh-CN"/>
        </w:rPr>
        <w:t>equivalent PLMN</w:t>
      </w:r>
      <w:r>
        <w:rPr>
          <w:rFonts w:hint="eastAsia" w:ascii="Times New Roman" w:hAnsi="Times New Roman" w:eastAsia="宋体" w:cs="Times New Roman"/>
          <w:b w:val="0"/>
          <w:bCs w:val="0"/>
          <w:i/>
          <w:iCs/>
          <w:sz w:val="21"/>
          <w:lang w:val="en-US" w:eastAsia="zh-CN"/>
        </w:rPr>
        <w:t xml:space="preserve"> list).</w:t>
      </w:r>
    </w:p>
    <w:p>
      <w:pPr>
        <w:pStyle w:val="11"/>
        <w:rPr>
          <w:rFonts w:hint="eastAsia" w:ascii="Times New Roman" w:hAnsi="Times New Roman" w:eastAsia="宋体" w:cs="Times New Roman"/>
          <w:b w:val="0"/>
          <w:bCs w:val="0"/>
          <w:i/>
          <w:iCs/>
          <w:sz w:val="21"/>
          <w:lang w:val="en-US" w:eastAsia="zh-CN"/>
        </w:rPr>
      </w:pPr>
      <w:r>
        <w:rPr>
          <w:rFonts w:hint="eastAsia" w:ascii="Times New Roman" w:hAnsi="Times New Roman" w:eastAsia="宋体" w:cs="Times New Roman"/>
          <w:b w:val="0"/>
          <w:bCs w:val="0"/>
          <w:i/>
          <w:iCs/>
          <w:sz w:val="21"/>
          <w:lang w:val="en-US" w:eastAsia="zh-CN"/>
        </w:rPr>
        <w:t xml:space="preserve">Observation 2: Considering multiple PLMN can be broadcasted in the target cell and each PLMN can have different Cell ID, it is not clear the cell ID of which PLMN will be taken as </w:t>
      </w:r>
      <w:r>
        <w:rPr>
          <w:rFonts w:hint="default" w:ascii="Times New Roman" w:hAnsi="Times New Roman" w:eastAsia="宋体" w:cs="Times New Roman"/>
          <w:b w:val="0"/>
          <w:bCs w:val="0"/>
          <w:i/>
          <w:iCs/>
          <w:sz w:val="21"/>
          <w:lang w:val="en-US" w:eastAsia="zh-CN"/>
        </w:rPr>
        <w:t>targetCellIdentity</w:t>
      </w:r>
      <w:r>
        <w:rPr>
          <w:rFonts w:hint="eastAsia" w:ascii="Times New Roman" w:hAnsi="Times New Roman" w:eastAsia="宋体" w:cs="Times New Roman"/>
          <w:b w:val="0"/>
          <w:bCs w:val="0"/>
          <w:i/>
          <w:iCs/>
          <w:sz w:val="21"/>
          <w:lang w:val="en-US" w:eastAsia="zh-CN"/>
        </w:rPr>
        <w:t xml:space="preserve"> in the short-MAC-I calculation.</w:t>
      </w:r>
    </w:p>
    <w:p>
      <w:pPr>
        <w:pStyle w:val="11"/>
        <w:rPr>
          <w:rFonts w:hint="eastAsia" w:ascii="Times New Roman" w:hAnsi="Times New Roman" w:eastAsia="宋体" w:cs="Times New Roman"/>
          <w:b w:val="0"/>
          <w:bCs w:val="0"/>
          <w:i/>
          <w:iCs/>
          <w:sz w:val="21"/>
          <w:lang w:val="en-US" w:eastAsia="zh-CN"/>
        </w:rPr>
      </w:pPr>
      <w:r>
        <w:rPr>
          <w:rFonts w:hint="eastAsia" w:ascii="Times New Roman" w:hAnsi="Times New Roman" w:eastAsia="宋体" w:cs="Times New Roman"/>
          <w:b w:val="0"/>
          <w:bCs w:val="0"/>
          <w:i/>
          <w:iCs/>
          <w:sz w:val="21"/>
          <w:lang w:val="en-US" w:eastAsia="zh-CN"/>
        </w:rPr>
        <w:t xml:space="preserve">Observation 3: To avoid the ambiguity in both RAN2 and RAN3, and avoid the unnecessary calculation/comparison of short-MAC-I multiple times for different PLMN, the PLMN of </w:t>
      </w:r>
      <w:r>
        <w:rPr>
          <w:rFonts w:hint="default" w:ascii="Times New Roman" w:hAnsi="Times New Roman" w:eastAsia="宋体" w:cs="Times New Roman"/>
          <w:b w:val="0"/>
          <w:bCs w:val="0"/>
          <w:i/>
          <w:iCs/>
          <w:sz w:val="21"/>
          <w:lang w:val="en-US" w:eastAsia="zh-CN"/>
        </w:rPr>
        <w:t>targetCellIdentity</w:t>
      </w:r>
      <w:r>
        <w:rPr>
          <w:rFonts w:hint="eastAsia" w:ascii="Times New Roman" w:hAnsi="Times New Roman" w:eastAsia="宋体" w:cs="Times New Roman"/>
          <w:b w:val="0"/>
          <w:bCs w:val="0"/>
          <w:i/>
          <w:iCs/>
          <w:sz w:val="21"/>
          <w:lang w:val="en-US" w:eastAsia="zh-CN"/>
        </w:rPr>
        <w:t xml:space="preserve"> in VarResumeMAC-Input should be clarified.</w:t>
      </w:r>
    </w:p>
    <w:p>
      <w:pPr>
        <w:pStyle w:val="11"/>
        <w:rPr>
          <w:rFonts w:hint="eastAsia" w:ascii="Times New Roman" w:hAnsi="Times New Roman" w:eastAsia="宋体" w:cs="Times New Roman"/>
          <w:b w:val="0"/>
          <w:bCs w:val="0"/>
          <w:i/>
          <w:iCs/>
          <w:sz w:val="21"/>
          <w:lang w:val="en-US" w:eastAsia="zh-CN"/>
        </w:rPr>
      </w:pPr>
      <w:r>
        <w:rPr>
          <w:rFonts w:hint="eastAsia" w:ascii="Times New Roman" w:hAnsi="Times New Roman" w:eastAsia="宋体" w:cs="Times New Roman"/>
          <w:b w:val="0"/>
          <w:bCs w:val="0"/>
          <w:i/>
          <w:iCs/>
          <w:sz w:val="21"/>
          <w:lang w:val="en-US" w:eastAsia="zh-CN"/>
        </w:rPr>
        <w:t xml:space="preserve">Observation 4: The </w:t>
      </w:r>
      <w:r>
        <w:rPr>
          <w:rFonts w:hint="default" w:ascii="Times New Roman" w:hAnsi="Times New Roman" w:eastAsia="宋体" w:cs="Times New Roman"/>
          <w:b w:val="0"/>
          <w:bCs w:val="0"/>
          <w:i/>
          <w:iCs/>
          <w:sz w:val="21"/>
          <w:lang w:val="en-US" w:eastAsia="zh-CN"/>
        </w:rPr>
        <w:t>targetCellIdentity</w:t>
      </w:r>
      <w:r>
        <w:rPr>
          <w:rFonts w:hint="eastAsia" w:ascii="Times New Roman" w:hAnsi="Times New Roman" w:eastAsia="宋体" w:cs="Times New Roman"/>
          <w:b w:val="0"/>
          <w:bCs w:val="0"/>
          <w:i/>
          <w:iCs/>
          <w:sz w:val="21"/>
          <w:lang w:val="en-US" w:eastAsia="zh-CN"/>
        </w:rPr>
        <w:t xml:space="preserve"> in </w:t>
      </w:r>
      <w:r>
        <w:rPr>
          <w:rFonts w:hint="default" w:ascii="Times New Roman" w:hAnsi="Times New Roman" w:eastAsia="宋体" w:cs="Times New Roman"/>
          <w:b w:val="0"/>
          <w:bCs w:val="0"/>
          <w:i/>
          <w:iCs/>
          <w:sz w:val="21"/>
          <w:lang w:val="en-US" w:eastAsia="zh-CN"/>
        </w:rPr>
        <w:t>VarResumeMAC-Input</w:t>
      </w:r>
      <w:r>
        <w:rPr>
          <w:rFonts w:hint="eastAsia" w:ascii="Times New Roman" w:hAnsi="Times New Roman" w:eastAsia="宋体" w:cs="Times New Roman"/>
          <w:b w:val="0"/>
          <w:bCs w:val="0"/>
          <w:i/>
          <w:iCs/>
          <w:sz w:val="21"/>
          <w:lang w:val="en-US" w:eastAsia="zh-CN"/>
        </w:rPr>
        <w:t xml:space="preserve"> will only be used in the calculation of short-MAC-I as an input parameter, the PLMN of </w:t>
      </w:r>
      <w:r>
        <w:rPr>
          <w:rFonts w:hint="default" w:ascii="Times New Roman" w:hAnsi="Times New Roman" w:eastAsia="宋体" w:cs="Times New Roman"/>
          <w:b w:val="0"/>
          <w:bCs w:val="0"/>
          <w:i/>
          <w:iCs/>
          <w:sz w:val="21"/>
          <w:lang w:val="en-US" w:eastAsia="zh-CN"/>
        </w:rPr>
        <w:t>targetCellIdentity</w:t>
      </w:r>
      <w:r>
        <w:rPr>
          <w:rFonts w:hint="eastAsia" w:ascii="Times New Roman" w:hAnsi="Times New Roman" w:eastAsia="宋体" w:cs="Times New Roman"/>
          <w:b w:val="0"/>
          <w:bCs w:val="0"/>
          <w:i/>
          <w:iCs/>
          <w:sz w:val="21"/>
          <w:lang w:val="en-US" w:eastAsia="zh-CN"/>
        </w:rPr>
        <w:t xml:space="preserve"> can be different from the PLMN selected by UE.</w:t>
      </w:r>
    </w:p>
    <w:p>
      <w:pPr>
        <w:pStyle w:val="11"/>
        <w:rPr>
          <w:rFonts w:hint="eastAsia" w:ascii="Times New Roman" w:hAnsi="Times New Roman" w:eastAsia="宋体" w:cs="Times New Roman"/>
          <w:b/>
          <w:bCs/>
          <w:sz w:val="21"/>
          <w:lang w:val="en-GB" w:eastAsia="ja-JP"/>
        </w:rPr>
      </w:pPr>
      <w:r>
        <w:rPr>
          <w:rFonts w:hint="eastAsia" w:ascii="Times New Roman" w:hAnsi="Times New Roman" w:eastAsia="宋体" w:cs="Times New Roman"/>
          <w:b/>
          <w:bCs/>
          <w:sz w:val="21"/>
          <w:lang w:val="en-US" w:eastAsia="zh-CN"/>
        </w:rPr>
        <w:t xml:space="preserve">Proposal 1: The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in </w:t>
      </w:r>
      <w:r>
        <w:rPr>
          <w:rFonts w:hint="default" w:ascii="Times New Roman" w:hAnsi="Times New Roman" w:eastAsia="宋体" w:cs="Times New Roman"/>
          <w:b/>
          <w:bCs/>
          <w:sz w:val="21"/>
          <w:lang w:val="en-US" w:eastAsia="zh-CN"/>
        </w:rPr>
        <w:t>VarResumeMAC-Input</w:t>
      </w:r>
      <w:r>
        <w:rPr>
          <w:rFonts w:hint="eastAsia" w:ascii="Times New Roman" w:hAnsi="Times New Roman" w:eastAsia="宋体" w:cs="Times New Roman"/>
          <w:b/>
          <w:bCs/>
          <w:sz w:val="21"/>
          <w:lang w:val="en-US" w:eastAsia="zh-CN"/>
        </w:rPr>
        <w:t xml:space="preserve"> is</w:t>
      </w:r>
      <w:r>
        <w:rPr>
          <w:rFonts w:hint="eastAsia" w:ascii="Times New Roman" w:hAnsi="Times New Roman" w:eastAsia="宋体" w:cs="Times New Roman"/>
          <w:b/>
          <w:bCs/>
          <w:sz w:val="21"/>
          <w:lang w:val="en-GB" w:eastAsia="ja-JP"/>
        </w:rPr>
        <w:t xml:space="preserve"> associated with the first PLMN-Identity included in the PLMN-IdentityInfoList.</w:t>
      </w:r>
    </w:p>
    <w:p>
      <w:pPr>
        <w:pStyle w:val="11"/>
        <w:rPr>
          <w:rFonts w:hint="eastAsia" w:ascii="Times New Roman" w:hAnsi="Times New Roman" w:eastAsia="宋体" w:cs="Times New Roman"/>
          <w:b/>
          <w:bCs/>
          <w:sz w:val="21"/>
          <w:lang w:val="en-US" w:eastAsia="zh-CN"/>
        </w:rPr>
      </w:pPr>
      <w:r>
        <w:rPr>
          <w:rFonts w:hint="eastAsia" w:ascii="Times New Roman" w:hAnsi="Times New Roman" w:eastAsia="宋体" w:cs="Times New Roman"/>
          <w:b/>
          <w:bCs/>
          <w:sz w:val="21"/>
          <w:lang w:val="en-US" w:eastAsia="zh-CN"/>
        </w:rPr>
        <w:t xml:space="preserve">Proposal 2: The </w:t>
      </w:r>
      <w:r>
        <w:rPr>
          <w:rFonts w:hint="default" w:ascii="Times New Roman" w:hAnsi="Times New Roman" w:eastAsia="宋体" w:cs="Times New Roman"/>
          <w:b/>
          <w:bCs/>
          <w:sz w:val="21"/>
          <w:lang w:val="en-US" w:eastAsia="zh-CN"/>
        </w:rPr>
        <w:t>targetCellIdentity</w:t>
      </w:r>
      <w:r>
        <w:rPr>
          <w:rFonts w:hint="eastAsia" w:ascii="Times New Roman" w:hAnsi="Times New Roman" w:eastAsia="宋体" w:cs="Times New Roman"/>
          <w:b/>
          <w:bCs/>
          <w:sz w:val="21"/>
          <w:lang w:val="en-US" w:eastAsia="zh-CN"/>
        </w:rPr>
        <w:t xml:space="preserve"> in </w:t>
      </w:r>
      <w:r>
        <w:rPr>
          <w:rFonts w:hint="default" w:ascii="Times New Roman" w:hAnsi="Times New Roman" w:eastAsia="宋体" w:cs="Times New Roman"/>
          <w:b/>
          <w:bCs/>
          <w:sz w:val="21"/>
          <w:lang w:val="en-US" w:eastAsia="zh-CN"/>
        </w:rPr>
        <w:t>VarShortMAC-Input</w:t>
      </w:r>
      <w:r>
        <w:rPr>
          <w:rFonts w:hint="eastAsia" w:ascii="Times New Roman" w:hAnsi="Times New Roman" w:eastAsia="宋体" w:cs="Times New Roman"/>
          <w:b/>
          <w:bCs/>
          <w:sz w:val="21"/>
          <w:lang w:val="en-US" w:eastAsia="zh-CN"/>
        </w:rPr>
        <w:t xml:space="preserve"> is</w:t>
      </w:r>
      <w:r>
        <w:rPr>
          <w:rFonts w:hint="eastAsia" w:ascii="Times New Roman" w:hAnsi="Times New Roman" w:eastAsia="宋体" w:cs="Times New Roman"/>
          <w:b/>
          <w:bCs/>
          <w:sz w:val="21"/>
          <w:lang w:val="en-GB" w:eastAsia="ja-JP"/>
        </w:rPr>
        <w:t xml:space="preserve"> associated with the first PLMN-Identity included in the PLMN-IdentityInfoList.</w:t>
      </w:r>
    </w:p>
    <w:p>
      <w:pPr>
        <w:pStyle w:val="51"/>
        <w:numPr>
          <w:numId w:val="0"/>
        </w:numPr>
        <w:ind w:leftChars="0"/>
        <w:rPr>
          <w:rFonts w:hint="eastAsia" w:eastAsia="宋体"/>
          <w:b w:val="0"/>
          <w:bCs w:val="0"/>
          <w:i w:val="0"/>
          <w:iCs/>
          <w:color w:val="auto"/>
          <w:sz w:val="21"/>
          <w:highlight w:val="none"/>
          <w:lang w:val="en-US" w:eastAsia="zh-CN"/>
        </w:rPr>
      </w:pPr>
      <w:r>
        <w:rPr>
          <w:rFonts w:hint="eastAsia" w:eastAsia="宋体"/>
          <w:b w:val="0"/>
          <w:bCs w:val="0"/>
          <w:i w:val="0"/>
          <w:iCs/>
          <w:color w:val="auto"/>
          <w:sz w:val="21"/>
          <w:highlight w:val="none"/>
          <w:lang w:val="en-US" w:eastAsia="zh-CN"/>
        </w:rPr>
        <w:t>The corresponding CR can be found in [4]</w:t>
      </w:r>
    </w:p>
    <w:p>
      <w:pPr>
        <w:pStyle w:val="2"/>
        <w:pBdr>
          <w:top w:val="single" w:color="auto" w:sz="4" w:space="1"/>
        </w:pBdr>
        <w:jc w:val="both"/>
      </w:pPr>
      <w:r>
        <w:t>References</w:t>
      </w:r>
    </w:p>
    <w:p>
      <w:pPr>
        <w:pStyle w:val="11"/>
        <w:numPr>
          <w:ilvl w:val="0"/>
          <w:numId w:val="5"/>
        </w:numP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R2-1811004</w:t>
      </w:r>
      <w:r>
        <w:rPr>
          <w:rFonts w:hint="default" w:ascii="Times New Roman" w:hAnsi="Times New Roman" w:eastAsia="宋体" w:cs="Times New Roman"/>
          <w:sz w:val="21"/>
          <w:lang w:val="en-US" w:eastAsia="zh-CN"/>
        </w:rPr>
        <w:tab/>
      </w:r>
      <w:r>
        <w:rPr>
          <w:rFonts w:hint="default" w:ascii="Times New Roman" w:hAnsi="Times New Roman" w:eastAsia="宋体" w:cs="Times New Roman"/>
          <w:sz w:val="21"/>
          <w:lang w:val="en-US" w:eastAsia="zh-CN"/>
        </w:rPr>
        <w:t>Reply LS on inclusion of NSSAI information during Inactive to connected mode transition (C1-184474; contact: Qualcomm)</w:t>
      </w:r>
      <w:r>
        <w:rPr>
          <w:rFonts w:hint="default" w:ascii="Times New Roman" w:hAnsi="Times New Roman" w:eastAsia="宋体" w:cs="Times New Roman"/>
          <w:sz w:val="21"/>
          <w:lang w:val="en-US" w:eastAsia="zh-CN"/>
        </w:rPr>
        <w:tab/>
      </w:r>
      <w:r>
        <w:rPr>
          <w:rFonts w:hint="default" w:ascii="Times New Roman" w:hAnsi="Times New Roman" w:eastAsia="宋体" w:cs="Times New Roman"/>
          <w:sz w:val="21"/>
          <w:lang w:val="en-US" w:eastAsia="zh-CN"/>
        </w:rPr>
        <w:t>CT1</w:t>
      </w:r>
      <w:r>
        <w:rPr>
          <w:rFonts w:hint="default" w:ascii="Times New Roman" w:hAnsi="Times New Roman" w:eastAsia="宋体" w:cs="Times New Roman"/>
          <w:sz w:val="21"/>
          <w:lang w:val="en-US" w:eastAsia="zh-CN"/>
        </w:rPr>
        <w:tab/>
      </w:r>
      <w:r>
        <w:rPr>
          <w:rFonts w:hint="default" w:ascii="Times New Roman" w:hAnsi="Times New Roman" w:eastAsia="宋体" w:cs="Times New Roman"/>
          <w:sz w:val="21"/>
          <w:lang w:val="en-US" w:eastAsia="zh-CN"/>
        </w:rPr>
        <w:t>LS in</w:t>
      </w:r>
    </w:p>
    <w:p>
      <w:pPr>
        <w:pStyle w:val="11"/>
        <w:numPr>
          <w:ilvl w:val="0"/>
          <w:numId w:val="5"/>
        </w:numPr>
        <w:rPr>
          <w:rFonts w:hint="default"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38.331</w:t>
      </w:r>
    </w:p>
    <w:p>
      <w:pPr>
        <w:pStyle w:val="11"/>
        <w:numPr>
          <w:ilvl w:val="0"/>
          <w:numId w:val="5"/>
        </w:numPr>
        <w:rPr>
          <w:rFonts w:hint="default"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38.423</w:t>
      </w:r>
    </w:p>
    <w:p>
      <w:pPr>
        <w:pStyle w:val="11"/>
        <w:numPr>
          <w:ilvl w:val="0"/>
          <w:numId w:val="5"/>
        </w:numPr>
        <w:rPr>
          <w:rFonts w:hint="default" w:ascii="Times New Roman" w:hAnsi="Times New Roman" w:eastAsia="宋体" w:cs="Times New Roman"/>
          <w:sz w:val="21"/>
          <w:lang w:val="en-US" w:eastAsia="zh-CN"/>
        </w:rPr>
      </w:pPr>
      <w:r>
        <w:rPr>
          <w:rFonts w:hint="eastAsia" w:ascii="Times New Roman" w:hAnsi="Times New Roman" w:eastAsia="宋体" w:cs="Times New Roman"/>
          <w:sz w:val="21"/>
          <w:lang w:val="zh-CN" w:eastAsia="zh-CN"/>
        </w:rPr>
        <w:t>R2-1815205</w:t>
      </w:r>
      <w:r>
        <w:rPr>
          <w:rFonts w:hint="eastAsia" w:ascii="Times New Roman" w:hAnsi="Times New Roman" w:eastAsia="宋体" w:cs="Times New Roman"/>
          <w:sz w:val="21"/>
          <w:lang w:val="en-US" w:eastAsia="zh-CN"/>
        </w:rPr>
        <w:t xml:space="preserve"> </w:t>
      </w:r>
      <w:r>
        <w:rPr>
          <w:rFonts w:hint="eastAsia" w:ascii="Times New Roman" w:hAnsi="Times New Roman" w:eastAsia="宋体" w:cs="Times New Roman"/>
          <w:sz w:val="21"/>
          <w:lang w:val="zh-CN" w:eastAsia="zh-CN"/>
        </w:rPr>
        <w:t>CR to 38.331 on the</w:t>
      </w:r>
      <w:r>
        <w:rPr>
          <w:rFonts w:hint="eastAsia" w:ascii="Times New Roman" w:hAnsi="Times New Roman" w:eastAsia="宋体" w:cs="Times New Roman"/>
          <w:sz w:val="21"/>
          <w:lang w:val="en-US" w:eastAsia="zh-CN"/>
        </w:rPr>
        <w:t xml:space="preserve"> </w:t>
      </w:r>
      <w:r>
        <w:rPr>
          <w:rFonts w:hint="eastAsia" w:ascii="Times New Roman" w:hAnsi="Times New Roman" w:eastAsia="宋体" w:cs="Times New Roman"/>
          <w:sz w:val="21"/>
          <w:lang w:val="zh-CN" w:eastAsia="zh-CN"/>
        </w:rPr>
        <w:t xml:space="preserve">targetCellIdentity in </w:t>
      </w:r>
      <w:r>
        <w:rPr>
          <w:rFonts w:hint="eastAsia" w:ascii="Times New Roman" w:hAnsi="Times New Roman" w:eastAsia="宋体" w:cs="Times New Roman"/>
          <w:sz w:val="21"/>
          <w:lang w:val="en-US" w:eastAsia="zh-CN"/>
        </w:rPr>
        <w:t xml:space="preserve">Resume/Short </w:t>
      </w:r>
      <w:r>
        <w:rPr>
          <w:rFonts w:hint="eastAsia" w:ascii="Times New Roman" w:hAnsi="Times New Roman" w:eastAsia="宋体" w:cs="Times New Roman"/>
          <w:sz w:val="21"/>
          <w:lang w:val="zh-CN" w:eastAsia="zh-CN"/>
        </w:rPr>
        <w:t>MAC-I calculation</w:t>
      </w:r>
    </w:p>
    <w:p>
      <w:pPr>
        <w:pStyle w:val="51"/>
        <w:rPr>
          <w:color w:val="auto"/>
          <w:highlight w:val="none"/>
          <w:lang w:eastAsia="ko-KR"/>
        </w:rPr>
      </w:pPr>
    </w:p>
    <w:p>
      <w:pPr>
        <w:pStyle w:val="11"/>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705291"/>
    <w:multiLevelType w:val="singleLevel"/>
    <w:tmpl w:val="F9705291"/>
    <w:lvl w:ilvl="0" w:tentative="0">
      <w:start w:val="1"/>
      <w:numFmt w:val="decimal"/>
      <w:suff w:val="space"/>
      <w:lvlText w:val="[%1]"/>
      <w:lvlJc w:val="left"/>
    </w:lvl>
  </w:abstractNum>
  <w:abstractNum w:abstractNumId="1">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FC"/>
    <w:rsid w:val="00000A10"/>
    <w:rsid w:val="00000EB2"/>
    <w:rsid w:val="00001C9F"/>
    <w:rsid w:val="0000202E"/>
    <w:rsid w:val="00002FDB"/>
    <w:rsid w:val="00005B53"/>
    <w:rsid w:val="00005D28"/>
    <w:rsid w:val="00007B52"/>
    <w:rsid w:val="0001033E"/>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4E8"/>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A48"/>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645"/>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75"/>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374"/>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A67"/>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312"/>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47E17"/>
    <w:rsid w:val="004508C9"/>
    <w:rsid w:val="00451BB1"/>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29AF"/>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370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5E24"/>
    <w:rsid w:val="00606434"/>
    <w:rsid w:val="00606C30"/>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2EB"/>
    <w:rsid w:val="006C5336"/>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2EE"/>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B730F"/>
    <w:rsid w:val="007C00F8"/>
    <w:rsid w:val="007C0392"/>
    <w:rsid w:val="007C0477"/>
    <w:rsid w:val="007C04FC"/>
    <w:rsid w:val="007C207E"/>
    <w:rsid w:val="007C21D8"/>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C6"/>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2E97"/>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F82"/>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C13"/>
    <w:rsid w:val="00B45D36"/>
    <w:rsid w:val="00B463FC"/>
    <w:rsid w:val="00B466A0"/>
    <w:rsid w:val="00B471AA"/>
    <w:rsid w:val="00B474E4"/>
    <w:rsid w:val="00B479EB"/>
    <w:rsid w:val="00B504AA"/>
    <w:rsid w:val="00B50CD5"/>
    <w:rsid w:val="00B50FFF"/>
    <w:rsid w:val="00B5176D"/>
    <w:rsid w:val="00B519DE"/>
    <w:rsid w:val="00B52F40"/>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A7F1A"/>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0AE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3CA6"/>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3C85"/>
    <w:rsid w:val="00D7478C"/>
    <w:rsid w:val="00D7530A"/>
    <w:rsid w:val="00D76468"/>
    <w:rsid w:val="00D767CC"/>
    <w:rsid w:val="00D8087A"/>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B70"/>
    <w:rsid w:val="00DA7DD9"/>
    <w:rsid w:val="00DB0AA0"/>
    <w:rsid w:val="00DB342A"/>
    <w:rsid w:val="00DB37D5"/>
    <w:rsid w:val="00DB398E"/>
    <w:rsid w:val="00DB3A5C"/>
    <w:rsid w:val="00DB444A"/>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24"/>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6F0A91"/>
    <w:rsid w:val="01B83A0B"/>
    <w:rsid w:val="01F04DC3"/>
    <w:rsid w:val="02165E4B"/>
    <w:rsid w:val="028715E5"/>
    <w:rsid w:val="02F63080"/>
    <w:rsid w:val="036C67EF"/>
    <w:rsid w:val="039501B4"/>
    <w:rsid w:val="04422021"/>
    <w:rsid w:val="04EA388D"/>
    <w:rsid w:val="0582796D"/>
    <w:rsid w:val="072B715D"/>
    <w:rsid w:val="073444D8"/>
    <w:rsid w:val="09CA0B6E"/>
    <w:rsid w:val="0AFC34E8"/>
    <w:rsid w:val="0B8F7AC8"/>
    <w:rsid w:val="0CA45875"/>
    <w:rsid w:val="0DF11F2D"/>
    <w:rsid w:val="0E6E593D"/>
    <w:rsid w:val="0F1E7F85"/>
    <w:rsid w:val="0F3573CF"/>
    <w:rsid w:val="10081732"/>
    <w:rsid w:val="10B21205"/>
    <w:rsid w:val="131B3A72"/>
    <w:rsid w:val="14890F28"/>
    <w:rsid w:val="15490894"/>
    <w:rsid w:val="15E96D92"/>
    <w:rsid w:val="16C854B6"/>
    <w:rsid w:val="16E650F6"/>
    <w:rsid w:val="17D8549B"/>
    <w:rsid w:val="184F4020"/>
    <w:rsid w:val="19405ADF"/>
    <w:rsid w:val="19721214"/>
    <w:rsid w:val="1A574CFA"/>
    <w:rsid w:val="1A755266"/>
    <w:rsid w:val="1A8A5B7E"/>
    <w:rsid w:val="1AF2495A"/>
    <w:rsid w:val="1BA2390D"/>
    <w:rsid w:val="1BAE78BD"/>
    <w:rsid w:val="1E5913DA"/>
    <w:rsid w:val="1E5A5BF6"/>
    <w:rsid w:val="1E831CAA"/>
    <w:rsid w:val="1E8D30C2"/>
    <w:rsid w:val="1FEB5B0F"/>
    <w:rsid w:val="238154F4"/>
    <w:rsid w:val="252D1B1B"/>
    <w:rsid w:val="25414205"/>
    <w:rsid w:val="257D5651"/>
    <w:rsid w:val="25F27FFE"/>
    <w:rsid w:val="27056116"/>
    <w:rsid w:val="273B2AE2"/>
    <w:rsid w:val="28D01C3C"/>
    <w:rsid w:val="28EC1E80"/>
    <w:rsid w:val="28F42B77"/>
    <w:rsid w:val="29E806D9"/>
    <w:rsid w:val="2A8B29EF"/>
    <w:rsid w:val="2A902166"/>
    <w:rsid w:val="2D031AA7"/>
    <w:rsid w:val="2DFE3C75"/>
    <w:rsid w:val="319D7D4B"/>
    <w:rsid w:val="31F03AB7"/>
    <w:rsid w:val="327276DD"/>
    <w:rsid w:val="34426A7C"/>
    <w:rsid w:val="344316A8"/>
    <w:rsid w:val="3472228A"/>
    <w:rsid w:val="348F3B12"/>
    <w:rsid w:val="34BC2DE0"/>
    <w:rsid w:val="353952B3"/>
    <w:rsid w:val="35652EA3"/>
    <w:rsid w:val="35F4163C"/>
    <w:rsid w:val="37BD5DA5"/>
    <w:rsid w:val="386113FA"/>
    <w:rsid w:val="39653F7E"/>
    <w:rsid w:val="3AD14D33"/>
    <w:rsid w:val="3B3F3F58"/>
    <w:rsid w:val="3BB90602"/>
    <w:rsid w:val="3BDA7095"/>
    <w:rsid w:val="3D754879"/>
    <w:rsid w:val="3DBE08C2"/>
    <w:rsid w:val="3EDD524D"/>
    <w:rsid w:val="3F0570FC"/>
    <w:rsid w:val="3F8C28BA"/>
    <w:rsid w:val="439B1616"/>
    <w:rsid w:val="45330236"/>
    <w:rsid w:val="453F67C5"/>
    <w:rsid w:val="45C24D18"/>
    <w:rsid w:val="4676484C"/>
    <w:rsid w:val="46DA372D"/>
    <w:rsid w:val="48BB3DB2"/>
    <w:rsid w:val="49807E31"/>
    <w:rsid w:val="49DA3D9D"/>
    <w:rsid w:val="4CE9144F"/>
    <w:rsid w:val="4DAE2E1F"/>
    <w:rsid w:val="4DEE4137"/>
    <w:rsid w:val="4E001331"/>
    <w:rsid w:val="4E1D5B85"/>
    <w:rsid w:val="4EF1316B"/>
    <w:rsid w:val="4F150A97"/>
    <w:rsid w:val="503F487A"/>
    <w:rsid w:val="516B219E"/>
    <w:rsid w:val="524A0C37"/>
    <w:rsid w:val="533B2928"/>
    <w:rsid w:val="53EB0B21"/>
    <w:rsid w:val="55025020"/>
    <w:rsid w:val="55111F8C"/>
    <w:rsid w:val="569D1AA4"/>
    <w:rsid w:val="57DD2170"/>
    <w:rsid w:val="58097F84"/>
    <w:rsid w:val="585F4E67"/>
    <w:rsid w:val="5913647E"/>
    <w:rsid w:val="59307E86"/>
    <w:rsid w:val="59724A8E"/>
    <w:rsid w:val="5A287F8C"/>
    <w:rsid w:val="5A9A4DCA"/>
    <w:rsid w:val="5B492890"/>
    <w:rsid w:val="5BEB6A37"/>
    <w:rsid w:val="5C235788"/>
    <w:rsid w:val="5E156B37"/>
    <w:rsid w:val="6220436F"/>
    <w:rsid w:val="64B84736"/>
    <w:rsid w:val="6634496C"/>
    <w:rsid w:val="6776143A"/>
    <w:rsid w:val="68D77E67"/>
    <w:rsid w:val="6923311F"/>
    <w:rsid w:val="69262905"/>
    <w:rsid w:val="6A313DFD"/>
    <w:rsid w:val="6B2035A2"/>
    <w:rsid w:val="6CFC759F"/>
    <w:rsid w:val="6D9368B0"/>
    <w:rsid w:val="6DE74A42"/>
    <w:rsid w:val="6E2A2B2E"/>
    <w:rsid w:val="6E3D6C31"/>
    <w:rsid w:val="6F101A3C"/>
    <w:rsid w:val="6F284426"/>
    <w:rsid w:val="6FEE6B15"/>
    <w:rsid w:val="6FFA090A"/>
    <w:rsid w:val="70474307"/>
    <w:rsid w:val="70A12211"/>
    <w:rsid w:val="70F1711F"/>
    <w:rsid w:val="72AE5B20"/>
    <w:rsid w:val="7316577D"/>
    <w:rsid w:val="735B4253"/>
    <w:rsid w:val="7372752E"/>
    <w:rsid w:val="74B672B8"/>
    <w:rsid w:val="75502BAE"/>
    <w:rsid w:val="75C8748F"/>
    <w:rsid w:val="77815A3B"/>
    <w:rsid w:val="77A9757E"/>
    <w:rsid w:val="793773ED"/>
    <w:rsid w:val="7BE01957"/>
    <w:rsid w:val="7C3209BA"/>
    <w:rsid w:val="7DAD53E2"/>
    <w:rsid w:val="7E123B67"/>
    <w:rsid w:val="7F13566B"/>
    <w:rsid w:val="7FA36A08"/>
    <w:rsid w:val="7FB1166A"/>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8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numPr>
        <w:ilvl w:val="3"/>
        <w:numId w:val="1"/>
      </w:numPr>
      <w:spacing w:before="240" w:after="60"/>
      <w:outlineLvl w:val="3"/>
    </w:pPr>
    <w:rPr>
      <w:rFonts w:eastAsia="MS Mincho"/>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75"/>
    <w:link w:val="76"/>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paragraph" w:customStyle="1" w:styleId="75">
    <w:name w:val="TAL"/>
    <w:basedOn w:val="1"/>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76">
    <w:name w:val="TAC Char"/>
    <w:link w:val="74"/>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4"/>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1"/>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character" w:customStyle="1" w:styleId="85">
    <w:name w:val="标题 1 Char"/>
    <w:basedOn w:val="22"/>
    <w:link w:val="2"/>
    <w:qFormat/>
    <w:uiPriority w:val="0"/>
    <w:rPr>
      <w:rFonts w:ascii="Arial" w:hAnsi="Arial" w:cs="Arial"/>
      <w:b/>
      <w:bCs/>
      <w:kern w:val="32"/>
      <w:sz w:val="28"/>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C5D6-462A-4497-8485-DD54ED11D9C3}">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1108</Words>
  <Characters>6293</Characters>
  <Lines>17</Lines>
  <Paragraphs>5</Paragraphs>
  <TotalTime>1</TotalTime>
  <ScaleCrop>false</ScaleCrop>
  <LinksUpToDate>false</LinksUpToDate>
  <CharactersWithSpaces>7472</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ZTE</dc:creator>
  <cp:lastModifiedBy>ZTE</cp:lastModifiedBy>
  <cp:lastPrinted>2007-08-28T14:45:00Z</cp:lastPrinted>
  <dcterms:modified xsi:type="dcterms:W3CDTF">2018-09-28T02:55:37Z</dcterms:modified>
  <dc:title>3GPP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